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洛浦县2022年中央政法转移支付资金项目支出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5"/>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color w:val="000000"/>
          <w:sz w:val="30"/>
          <w:szCs w:val="30"/>
        </w:rPr>
        <w:t>项</w:t>
      </w:r>
      <w:r>
        <w:rPr>
          <w:rFonts w:hint="eastAsia" w:ascii="黑体" w:hAnsi="Times New Roman" w:eastAsia="黑体"/>
          <w:b/>
          <w:sz w:val="30"/>
          <w:szCs w:val="30"/>
        </w:rPr>
        <w:t>目名称：洛浦县2022年中央政法转移支付资金项目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实施单位：洛浦县司法局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主管部门：洛浦县司法局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项目负责人：马 强</w:t>
      </w:r>
    </w:p>
    <w:p>
      <w:pPr>
        <w:spacing w:line="360" w:lineRule="auto"/>
        <w:ind w:left="840" w:leftChars="300" w:firstLine="0" w:firstLineChars="0"/>
      </w:pPr>
      <w:r>
        <w:rPr>
          <w:rFonts w:hint="eastAsia" w:ascii="黑体" w:hAnsi="Times New Roman" w:eastAsia="黑体"/>
          <w:b/>
          <w:sz w:val="30"/>
          <w:szCs w:val="30"/>
        </w:rPr>
        <w:t>填报时间：2023年2月15日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洛浦县2022年中央政法转移支付资金项目支出绩效评价报告</w:t>
      </w:r>
    </w:p>
    <w:p>
      <w:pPr>
        <w:pStyle w:val="3"/>
        <w:ind w:firstLine="643"/>
      </w:pPr>
      <w:r>
        <w:rPr>
          <w:rFonts w:hint="eastAsia"/>
        </w:rPr>
        <w:t>一、基本情况</w:t>
      </w:r>
    </w:p>
    <w:p>
      <w:pPr>
        <w:pStyle w:val="4"/>
        <w:ind w:firstLine="643"/>
      </w:pPr>
      <w:r>
        <w:rPr>
          <w:rFonts w:hint="eastAsia"/>
        </w:rPr>
        <w:t>（一）项目概况</w:t>
      </w:r>
    </w:p>
    <w:p>
      <w:pPr>
        <w:pStyle w:val="5"/>
        <w:ind w:firstLine="562"/>
      </w:pPr>
      <w:r>
        <w:rPr>
          <w:rFonts w:hint="eastAsia"/>
        </w:rPr>
        <w:t>1.项目背景</w:t>
      </w:r>
    </w:p>
    <w:p>
      <w:pPr>
        <w:ind w:firstLine="560"/>
      </w:pPr>
      <w:r>
        <w:rPr>
          <w:rFonts w:hint="eastAsia"/>
        </w:rPr>
        <w:t>中共中央办公厅、国务院办公厅出台了《关于加强政法经费保障工作的意见》，完善了“明确责任、分类负担、收支脱钩、全额保障”的政法经费保障体制，进一步提高政法经费保障水平。</w:t>
      </w:r>
    </w:p>
    <w:p>
      <w:pPr>
        <w:ind w:firstLine="560"/>
        <w:rPr>
          <w:rFonts w:hint="eastAsia"/>
        </w:rPr>
      </w:pPr>
      <w:r>
        <w:rPr>
          <w:rFonts w:hint="eastAsia"/>
        </w:rPr>
        <w:t>洛浦县司法局为了确保单位各项工作正常运行，全面推进法治宣传、法律服务、法律保障工作，忠诚履行好维护社会稳定、促进社会公平、保障人民安居乐业的职责使命，为全面建设洛浦县强民富生态美作出新的贡献。根据《关于拨付</w:t>
      </w:r>
      <w:r>
        <w:t>2021年中央政法纪检监察转移支付资金的通知》（和地财行〔2021〕15号）开始实施该项目。中央政法转移支付资金主要是指各级政府间解决财政失衡而通过一定的形式和途径转移财政资金的活动，是用以补充公共物品而提供的一种无偿支出，是政府财政资金的单方面的无偿转移，体现的是非市场性的分配关系，操作方法是中央政府向</w:t>
      </w:r>
      <w:r>
        <w:rPr>
          <w:rFonts w:hint="eastAsia"/>
        </w:rPr>
        <w:t>地方政府、地方政府向下级财政无偿划拨资金，有时各地财政之间也发生少量的横向转移支付。</w:t>
      </w:r>
      <w:r>
        <w:t>2022年中央政法转移支付资金主要用于提高我区政法机关现有装备保障水平，加强和完善公共法律服务水平，加强对广大人民群众的普法力度，加大对各类矛盾纠纷的排查与调解，维护社会稳定和国家安全，努力提升人民群众的获得感、幸福感、安全感，进一步为屈家岭管理区的和谐稳定发展做出贡献。</w:t>
      </w:r>
    </w:p>
    <w:p>
      <w:pPr>
        <w:pStyle w:val="5"/>
        <w:ind w:firstLine="562"/>
        <w:rPr>
          <w:rFonts w:hint="eastAsia"/>
        </w:rPr>
      </w:pPr>
      <w:r>
        <w:rPr>
          <w:rFonts w:hint="eastAsia"/>
        </w:rPr>
        <w:t>2.主要内容</w:t>
      </w:r>
    </w:p>
    <w:p>
      <w:pPr>
        <w:ind w:firstLine="560"/>
      </w:pPr>
      <w:r>
        <w:rPr>
          <w:rFonts w:hint="eastAsia"/>
        </w:rPr>
        <w:t>项目资金主要用于:办案经费和装备经费，其中办案经费包括基层工作办案（业务）费、普法宣传费、律师公证管理费、法律援助办案（业务）经费、其他司法支出等费用；装备经费用于业务装备的购置支出。实现了县、乡、村实体平台四级全覆盖，升级了“12348”热线平台。通过该项目实施，提高政法队伍建设，维护社会稳定。</w:t>
      </w:r>
    </w:p>
    <w:p>
      <w:pPr>
        <w:pStyle w:val="5"/>
        <w:ind w:firstLine="562"/>
        <w:jc w:val="left"/>
      </w:pPr>
      <w:r>
        <w:rPr>
          <w:rFonts w:hint="eastAsia"/>
        </w:rPr>
        <w:t>3.实施情况</w:t>
      </w:r>
    </w:p>
    <w:p>
      <w:pPr>
        <w:ind w:firstLine="560"/>
        <w:jc w:val="left"/>
      </w:pPr>
      <w:r>
        <w:t>实施主体：</w:t>
      </w:r>
      <w:r>
        <w:rPr>
          <w:rFonts w:hint="eastAsia"/>
        </w:rPr>
        <w:t>洛浦县司法局</w:t>
      </w:r>
    </w:p>
    <w:p>
      <w:pPr>
        <w:ind w:firstLine="560"/>
      </w:pPr>
      <w:r>
        <w:t>实施时间：</w:t>
      </w:r>
      <w:r>
        <w:rPr>
          <w:rFonts w:hint="eastAsia"/>
        </w:rPr>
        <w:t>本项目实施期限为2022年1月—2022年12月</w:t>
      </w:r>
      <w:r>
        <w:t>。</w:t>
      </w:r>
    </w:p>
    <w:p>
      <w:pPr>
        <w:overflowPunct w:val="0"/>
        <w:ind w:firstLine="560"/>
      </w:pPr>
      <w:r>
        <w:t>实施</w:t>
      </w:r>
      <w:r>
        <w:rPr>
          <w:rFonts w:hint="eastAsia"/>
        </w:rPr>
        <w:t>情况</w:t>
      </w:r>
      <w:r>
        <w:t>：</w:t>
      </w:r>
      <w:r>
        <w:rPr>
          <w:rFonts w:hint="eastAsia"/>
        </w:rPr>
        <w:t>县司法局成立了以局党组书记、局长为组长，局党组班子为副组长，相关科室负责人为成员的绩效评价领导小组，绩效评价领导小组办公室设在财务室，成员由相关科室抽调人员组成，负责对中央专项资金的司法专项经费项目进行评价。强化全面绩效管理、严格按照设定的绩效目标要求开展工作。项目前期阶段进行的工作有完善立项依据、比对立项标准、听取立项建议等工作，地方政府应当按照</w:t>
      </w:r>
      <w:r>
        <w:t>中央政府规定的用途使用资金，包括中央对地方实行的工资、社会保障、环保、抗灾救灾、扶贫帮困等方面的转移支付</w:t>
      </w:r>
      <w:r>
        <w:rPr>
          <w:rFonts w:hint="eastAsia"/>
        </w:rPr>
        <w:t>。根据《关于拨付2021年中央政法纪检监察转移支付资金的通知》（和地财行〔2021〕15号）文件，要确定创建对象和标准，符合条件者要进行申报审批流程。要建立项目实施详细档案，通过项目管理信息系统及时填报相关数据。要加强对项目资金的监管，加快项目资金执行进度。项目实施过程中要开展立项评审并且进行项目的筹备工作，有创建任务的区县（市）的部门根据创建单位的申请，组织有关专家，采取实地查看、听取汇报、座谈交流等形式对创建工作进行考核。考核结果分为优秀、合格和不合格。对考核优秀、合格的，进行授牌并拨付补贴资金；对不合格的，要求限期整改，在规定期限内未达到考核标准的，终止创建且不予资金补助。县级主管部门及时将考核结果报送市司法局，市司法局做好督查工作。项目实施之后，产生了显著的效果。首先，中央政府通过对地方政府的专项拨款,可以对地方的财政支出项目进行调节,有利于增强中央政府对地方政府的控制能力。其次，通过财政转移支付可以在一定程度上解决各地方之间因财政状况不同而造成的公共服务水平的不均等的问题。最后，通过财政转移支付为地方政府提供稳定的收入来源,弥补其收支差额,这是财政转移支付制度的最重要作用。</w:t>
      </w:r>
      <w:r>
        <w:t xml:space="preserve"> </w:t>
      </w:r>
    </w:p>
    <w:p>
      <w:pPr>
        <w:pStyle w:val="10"/>
        <w:spacing w:line="560" w:lineRule="exact"/>
        <w:ind w:firstLine="560"/>
        <w:rPr>
          <w:sz w:val="28"/>
        </w:rPr>
      </w:pPr>
      <w:r>
        <w:rPr>
          <w:rFonts w:hint="eastAsia"/>
          <w:sz w:val="28"/>
        </w:rPr>
        <w:t>具体实施流程如下：</w:t>
      </w:r>
    </w:p>
    <w:p>
      <w:pPr>
        <w:pStyle w:val="10"/>
        <w:spacing w:line="560" w:lineRule="exact"/>
        <w:ind w:firstLine="560"/>
        <w:rPr>
          <w:sz w:val="28"/>
        </w:rPr>
      </w:pPr>
      <w:r>
        <w:rPr>
          <w:rFonts w:hint="eastAsia"/>
          <w:sz w:val="28"/>
        </w:rPr>
        <w:t>完善立项依据→比对立项标准→听取立项建议→开展立项评审→进行项目筹备→明确项目责任。</w:t>
      </w:r>
    </w:p>
    <w:p>
      <w:pPr>
        <w:pStyle w:val="5"/>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200.44</w:t>
      </w:r>
      <w:r>
        <w:t>万元，</w:t>
      </w:r>
      <w:r>
        <w:rPr>
          <w:rFonts w:hint="eastAsia"/>
        </w:rPr>
        <w:t>资金来源为中央专项资金，</w:t>
      </w:r>
      <w:r>
        <w:t>其中</w:t>
      </w:r>
      <w:r>
        <w:rPr>
          <w:rFonts w:hint="eastAsia"/>
        </w:rPr>
        <w:t>：</w:t>
      </w:r>
      <w:r>
        <w:t>财政资金</w:t>
      </w:r>
      <w:r>
        <w:rPr>
          <w:rFonts w:hint="eastAsia"/>
        </w:rPr>
        <w:t>200.44</w:t>
      </w:r>
      <w:r>
        <w:t>万元，其他资金</w:t>
      </w:r>
      <w:r>
        <w:rPr>
          <w:rFonts w:hint="eastAsia"/>
        </w:rPr>
        <w:t>0.00</w:t>
      </w:r>
      <w:r>
        <w:t>万元，</w:t>
      </w:r>
      <w:r>
        <w:rPr>
          <w:rFonts w:hint="eastAsia"/>
        </w:rPr>
        <w:t>2022年</w:t>
      </w:r>
      <w:r>
        <w:t>实际收到预算资金</w:t>
      </w:r>
      <w:r>
        <w:rPr>
          <w:rFonts w:hint="eastAsia"/>
        </w:rPr>
        <w:t>200.44</w:t>
      </w:r>
      <w:r>
        <w:t>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本项目实际支付资金200.44万元，预算执行率100.00</w:t>
      </w:r>
      <w:r>
        <w:t>%</w:t>
      </w:r>
      <w:r>
        <w:rPr>
          <w:rFonts w:hint="eastAsia"/>
        </w:rPr>
        <w:t>。本项目资金主要用于支付全县学法法宣在线账号续费费用3.05万元，调解各类纠纷案件费用4.67万元，保障司法行政运转经费192.72万元。</w:t>
      </w:r>
    </w:p>
    <w:p>
      <w:pPr>
        <w:pStyle w:val="4"/>
        <w:numPr>
          <w:ilvl w:val="0"/>
          <w:numId w:val="2"/>
        </w:numPr>
        <w:ind w:firstLine="643"/>
      </w:pPr>
      <w:r>
        <w:rPr>
          <w:rFonts w:hint="eastAsia"/>
        </w:rPr>
        <w:t>项目绩效目标</w:t>
      </w:r>
    </w:p>
    <w:p>
      <w:pPr>
        <w:pStyle w:val="5"/>
        <w:ind w:firstLine="562"/>
      </w:pPr>
      <w:r>
        <w:rPr>
          <w:rFonts w:hint="eastAsia"/>
        </w:rPr>
        <w:t>1.总体目标</w:t>
      </w:r>
    </w:p>
    <w:p>
      <w:pPr>
        <w:pStyle w:val="5"/>
        <w:ind w:firstLine="560"/>
        <w:rPr>
          <w:b w:val="0"/>
          <w:bCs w:val="0"/>
          <w:kern w:val="2"/>
          <w:szCs w:val="24"/>
        </w:rPr>
      </w:pPr>
      <w:r>
        <w:rPr>
          <w:rFonts w:hint="eastAsia"/>
          <w:b w:val="0"/>
          <w:bCs w:val="0"/>
          <w:kern w:val="2"/>
          <w:szCs w:val="24"/>
        </w:rPr>
        <w:t>本项目主要实施内容为：</w:t>
      </w:r>
      <w:r>
        <w:rPr>
          <w:b w:val="0"/>
          <w:bCs w:val="0"/>
          <w:kern w:val="2"/>
          <w:szCs w:val="24"/>
        </w:rPr>
        <w:t>1、保障局机关及10个乡镇司法所正常运行； 2、牵头协调医患纠纷调解工作，配合县人民法院指导全县人民陪审员工作，承担县人民调解领导小组办公室的日常工作，调解各类矛盾纠纷案件至少3747件；3、指导、协调和督促全县法制宣传和依法治理工作，承担县依法治县领导小组办公室的日常工作，本年度至少开展普法宣传活动10场次；4、负责指导、监督全县律师工作并承担相应责任，负责指导和监督管理法律援助工作。通过实施本项目坚持以法治为引领，深化司法行政改革，全面推进法治宣传、法律服务、法律保障工作，忠诚履行好维护社会稳定、促进社</w:t>
      </w:r>
      <w:r>
        <w:rPr>
          <w:rFonts w:hint="eastAsia"/>
          <w:b w:val="0"/>
          <w:bCs w:val="0"/>
          <w:kern w:val="2"/>
          <w:szCs w:val="24"/>
        </w:rPr>
        <w:t>会公平、保障人民安居乐业的职责使命，为全面建设洛浦县强民富生态美作出新的贡献。</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保障局机关及乡镇司法所数量，预期指标值为≥11个。</w:t>
      </w:r>
    </w:p>
    <w:p>
      <w:pPr>
        <w:ind w:firstLine="560"/>
      </w:pPr>
      <w:r>
        <w:rPr>
          <w:rFonts w:hint="eastAsia"/>
        </w:rPr>
        <w:t>调解各类纠纷案件数量，预期指标值为≥3747件。</w:t>
      </w:r>
    </w:p>
    <w:p>
      <w:pPr>
        <w:ind w:firstLine="560"/>
      </w:pPr>
      <w:r>
        <w:rPr>
          <w:rFonts w:hint="eastAsia"/>
        </w:rPr>
        <w:t>开展普法宣传活动场次，预期指标值为≥10次。</w:t>
      </w:r>
    </w:p>
    <w:p>
      <w:pPr>
        <w:ind w:firstLine="560"/>
      </w:pPr>
      <w:r>
        <w:rPr>
          <w:rFonts w:hint="eastAsia"/>
        </w:rPr>
        <w:t>②质量指标</w:t>
      </w:r>
    </w:p>
    <w:p>
      <w:pPr>
        <w:ind w:firstLine="560"/>
      </w:pPr>
      <w:r>
        <w:rPr>
          <w:rFonts w:hint="eastAsia"/>
        </w:rPr>
        <w:t>案件结案率，预期指标值为&gt;=98%。</w:t>
      </w:r>
    </w:p>
    <w:p>
      <w:pPr>
        <w:ind w:firstLine="560"/>
      </w:pPr>
      <w:r>
        <w:rPr>
          <w:rFonts w:hint="eastAsia"/>
        </w:rPr>
        <w:t>资金使用合规率，预期指标值为=100%。</w:t>
      </w:r>
    </w:p>
    <w:p>
      <w:pPr>
        <w:ind w:firstLine="560"/>
      </w:pPr>
      <w:r>
        <w:rPr>
          <w:rFonts w:hint="eastAsia"/>
        </w:rPr>
        <w:t>批准案件指派率，预期指标值为=100%。</w:t>
      </w:r>
    </w:p>
    <w:p>
      <w:pPr>
        <w:ind w:firstLine="560"/>
      </w:pPr>
      <w:r>
        <w:rPr>
          <w:rFonts w:hint="eastAsia"/>
        </w:rPr>
        <w:t>③时效指标</w:t>
      </w:r>
    </w:p>
    <w:p>
      <w:pPr>
        <w:ind w:firstLine="560"/>
      </w:pPr>
      <w:r>
        <w:rPr>
          <w:rFonts w:hint="eastAsia"/>
        </w:rPr>
        <w:t>受理案件审批及时率，预期指标值为=100%。</w:t>
      </w:r>
    </w:p>
    <w:p>
      <w:pPr>
        <w:ind w:firstLine="560"/>
      </w:pPr>
      <w:r>
        <w:rPr>
          <w:rFonts w:hint="eastAsia"/>
        </w:rPr>
        <w:t>资金支付及时率，预期指标值为=100%。</w:t>
      </w:r>
    </w:p>
    <w:p>
      <w:pPr>
        <w:ind w:firstLine="560"/>
      </w:pPr>
      <w:r>
        <w:rPr>
          <w:rFonts w:hint="eastAsia"/>
        </w:rPr>
        <w:t>项目完成时间，预期指标值为2022年12月。</w:t>
      </w:r>
    </w:p>
    <w:p>
      <w:pPr>
        <w:ind w:firstLine="560"/>
      </w:pPr>
      <w:r>
        <w:rPr>
          <w:rFonts w:hint="eastAsia"/>
        </w:rPr>
        <w:t>④成本指标</w:t>
      </w:r>
    </w:p>
    <w:p>
      <w:pPr>
        <w:ind w:firstLine="560"/>
      </w:pPr>
      <w:r>
        <w:rPr>
          <w:rFonts w:hint="eastAsia"/>
        </w:rPr>
        <w:t>全县学法法宣在线账号续费费用，预期指标值为&lt;=3.05万元。</w:t>
      </w:r>
    </w:p>
    <w:p>
      <w:pPr>
        <w:ind w:firstLine="560"/>
      </w:pPr>
      <w:r>
        <w:rPr>
          <w:rFonts w:hint="eastAsia"/>
        </w:rPr>
        <w:t>调解各类纠纷案件费用，预期指标值为&lt;=4.67万元。</w:t>
      </w:r>
    </w:p>
    <w:p>
      <w:pPr>
        <w:ind w:firstLine="560"/>
      </w:pPr>
      <w:r>
        <w:rPr>
          <w:rFonts w:hint="eastAsia"/>
        </w:rPr>
        <w:t>保障司法行政运转经费，预期指标值为&lt;=192.72万元。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w:t>
      </w:r>
    </w:p>
    <w:p>
      <w:pPr>
        <w:ind w:firstLine="560"/>
      </w:pPr>
      <w:r>
        <w:rPr>
          <w:rFonts w:hint="eastAsia"/>
        </w:rPr>
        <w:t>②社会效益指标</w:t>
      </w:r>
    </w:p>
    <w:p>
      <w:pPr>
        <w:ind w:firstLine="560"/>
      </w:pPr>
      <w:r>
        <w:rPr>
          <w:rFonts w:hint="eastAsia"/>
        </w:rPr>
        <w:t>解决全县各类矛盾纠纷情况，维护社会稳定，预期指标值为有效解决。</w:t>
      </w:r>
    </w:p>
    <w:p>
      <w:pPr>
        <w:ind w:firstLine="560"/>
      </w:pPr>
      <w:r>
        <w:rPr>
          <w:rFonts w:hint="eastAsia"/>
        </w:rPr>
        <w:t>③生态效益指标</w:t>
      </w:r>
    </w:p>
    <w:p>
      <w:pPr>
        <w:ind w:firstLine="560"/>
      </w:pPr>
      <w:r>
        <w:rPr>
          <w:rFonts w:hint="eastAsia"/>
        </w:rPr>
        <w:t>无。</w:t>
      </w:r>
    </w:p>
    <w:p>
      <w:pPr>
        <w:ind w:firstLine="560"/>
      </w:pPr>
      <w:r>
        <w:rPr>
          <w:rFonts w:hint="eastAsia"/>
        </w:rPr>
        <w:t>④可持续影响</w:t>
      </w:r>
    </w:p>
    <w:p>
      <w:pPr>
        <w:pStyle w:val="2"/>
        <w:ind w:firstLine="560" w:firstLineChars="200"/>
        <w:rPr>
          <w:rFonts w:ascii="仿宋_GB2312" w:hAnsi="仿宋_GB2312" w:eastAsia="仿宋_GB2312"/>
          <w:sz w:val="28"/>
          <w:szCs w:val="24"/>
        </w:rPr>
      </w:pPr>
      <w:r>
        <w:rPr>
          <w:rFonts w:hint="eastAsia" w:ascii="仿宋_GB2312" w:hAnsi="仿宋_GB2312" w:eastAsia="仿宋_GB2312"/>
          <w:sz w:val="28"/>
          <w:szCs w:val="24"/>
        </w:rPr>
        <w:t>保障人民安居乐业，促进社会和谐发展，预期指标值为持续保障。</w:t>
      </w:r>
    </w:p>
    <w:p>
      <w:pPr>
        <w:ind w:firstLine="560"/>
      </w:pPr>
      <w:r>
        <w:rPr>
          <w:rFonts w:hint="eastAsia"/>
        </w:rPr>
        <w:t>⑤满意度指标</w:t>
      </w:r>
    </w:p>
    <w:p>
      <w:pPr>
        <w:pStyle w:val="3"/>
        <w:ind w:firstLine="560"/>
        <w:rPr>
          <w:rFonts w:ascii="仿宋_GB2312" w:hAnsi="仿宋_GB2312" w:eastAsia="仿宋_GB2312"/>
          <w:b w:val="0"/>
          <w:kern w:val="2"/>
          <w:sz w:val="28"/>
          <w:szCs w:val="24"/>
        </w:rPr>
      </w:pPr>
      <w:r>
        <w:rPr>
          <w:rFonts w:hint="eastAsia" w:ascii="仿宋_GB2312" w:hAnsi="仿宋_GB2312" w:eastAsia="仿宋_GB2312"/>
          <w:b w:val="0"/>
          <w:kern w:val="2"/>
          <w:sz w:val="28"/>
          <w:szCs w:val="24"/>
        </w:rPr>
        <w:t>受益群众满意度，预期指标值为&gt;=95%。</w:t>
      </w:r>
    </w:p>
    <w:p>
      <w:pPr>
        <w:pStyle w:val="3"/>
        <w:ind w:firstLine="560"/>
        <w:rPr>
          <w:rFonts w:ascii="仿宋_GB2312" w:hAnsi="仿宋_GB2312" w:eastAsia="仿宋_GB2312"/>
          <w:b w:val="0"/>
          <w:kern w:val="2"/>
          <w:sz w:val="28"/>
          <w:szCs w:val="24"/>
        </w:rPr>
      </w:pPr>
      <w:r>
        <w:rPr>
          <w:rFonts w:hint="eastAsia" w:ascii="仿宋_GB2312" w:hAnsi="仿宋_GB2312" w:eastAsia="仿宋_GB2312"/>
          <w:b w:val="0"/>
          <w:kern w:val="2"/>
          <w:sz w:val="28"/>
          <w:szCs w:val="24"/>
        </w:rPr>
        <w:t>工作人员满意度，预期指标值为&gt;=95%。</w:t>
      </w:r>
    </w:p>
    <w:p>
      <w:pPr>
        <w:pStyle w:val="3"/>
        <w:ind w:firstLine="643"/>
      </w:pPr>
      <w:r>
        <w:rPr>
          <w:rFonts w:hint="eastAsia"/>
        </w:rPr>
        <w:t>二、绩效评价工作开展情况</w:t>
      </w:r>
    </w:p>
    <w:p>
      <w:pPr>
        <w:pStyle w:val="4"/>
        <w:ind w:firstLine="643"/>
      </w:pPr>
      <w:bookmarkStart w:id="0" w:name="_Toc22922"/>
      <w:bookmarkStart w:id="1" w:name="_Toc21664"/>
      <w:bookmarkStart w:id="2" w:name="_Toc26632"/>
      <w:bookmarkStart w:id="3" w:name="_Toc5258"/>
      <w:bookmarkStart w:id="4" w:name="_Toc5462343"/>
      <w:bookmarkStart w:id="5" w:name="_Toc12868"/>
      <w:bookmarkStart w:id="6" w:name="_Toc480473081"/>
      <w:bookmarkStart w:id="7" w:name="_Toc22169_WPSOffice_Level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5"/>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2022年中央政法转移支付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此次我单位根据《财政支出绩效评价管理暂行办法》（财预〔2020〕10号）文件要求实施评价工作，本次评价对象为洛浦县2022年中央政法转移支付资金项目，评价核心为项目的资金投入、产出及效益。</w:t>
      </w:r>
    </w:p>
    <w:p>
      <w:pPr>
        <w:pStyle w:val="5"/>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5"/>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28278230"/>
      <w:bookmarkStart w:id="9" w:name="_Toc419984722"/>
      <w:bookmarkStart w:id="10" w:name="_Toc1913"/>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5"/>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bookmarkStart w:id="14" w:name="_GoBack"/>
      <w:bookmarkEnd w:id="14"/>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7"/>
        <w:ind w:firstLine="560"/>
      </w:pPr>
      <w:r>
        <w:rPr>
          <w:rFonts w:hint="eastAsia"/>
        </w:rPr>
        <w:t>立项程序规范性：比较法、文献法，查找相关项目设立的政策和文件要求，对比分析实际执行程序是否按照政策及文件要求执行，分析立项程序的规范性。</w:t>
      </w:r>
    </w:p>
    <w:p>
      <w:pPr>
        <w:pStyle w:val="7"/>
        <w:ind w:firstLine="560"/>
      </w:pPr>
      <w:r>
        <w:rPr>
          <w:rFonts w:hint="eastAsia"/>
        </w:rPr>
        <w:t>绩效目标合理性：比较法，对比分析年初编制项目支出绩效目标表与项目内容的相关性、资金的匹配性等。</w:t>
      </w:r>
    </w:p>
    <w:p>
      <w:pPr>
        <w:pStyle w:val="7"/>
        <w:ind w:firstLine="560"/>
      </w:pPr>
      <w:r>
        <w:rPr>
          <w:rFonts w:hint="eastAsia"/>
        </w:rPr>
        <w:t>绩效指标明确性：比较法，比较分析年初编制项目支出绩效目标表是否符合双七原则，是否可衡量。</w:t>
      </w:r>
    </w:p>
    <w:p>
      <w:pPr>
        <w:pStyle w:val="7"/>
        <w:ind w:firstLine="560"/>
      </w:pPr>
      <w:r>
        <w:rPr>
          <w:rFonts w:hint="eastAsia"/>
        </w:rPr>
        <w:t>预算编制科学性：成本效益分析法，分析在产出一定的情况下，成本取值是否有依据，是否经过询价，是否按照市场最低成本编制。</w:t>
      </w:r>
    </w:p>
    <w:p>
      <w:pPr>
        <w:pStyle w:val="7"/>
        <w:ind w:firstLine="560"/>
      </w:pPr>
      <w:r>
        <w:rPr>
          <w:rFonts w:hint="eastAsia"/>
        </w:rPr>
        <w:t>资金分配合理性：因素分析法，综合分析资金的分配依据是否充分，分配金额是否与项目实施单位需求金额一致，</w:t>
      </w:r>
    </w:p>
    <w:p>
      <w:pPr>
        <w:pStyle w:val="7"/>
        <w:ind w:firstLine="560"/>
      </w:pPr>
      <w:r>
        <w:rPr>
          <w:rFonts w:hint="eastAsia"/>
        </w:rPr>
        <w:t>资金到位率：比较法，资金到位率预期指标值应为100%，通过实际计算，分析实际完成值和预期指标值之间的差距和原因。</w:t>
      </w:r>
    </w:p>
    <w:p>
      <w:pPr>
        <w:pStyle w:val="7"/>
        <w:ind w:firstLine="560"/>
      </w:pPr>
      <w:r>
        <w:rPr>
          <w:rFonts w:hint="eastAsia"/>
        </w:rPr>
        <w:t>预算执行率：比较法，预算执行率预期指标值应为100%，通过实际计算，分析实际完成值和预期指标值之间的差距和原因。</w:t>
      </w:r>
    </w:p>
    <w:p>
      <w:pPr>
        <w:pStyle w:val="7"/>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7"/>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7"/>
        <w:ind w:firstLine="560"/>
      </w:pPr>
      <w:r>
        <w:rPr>
          <w:rFonts w:hint="eastAsia"/>
        </w:rPr>
        <w:t>制度执行有效性：比较法，结合项目实际实施过程性文件，根据已建设的财务管理制度和项目管理制度综合分析制度执行的有效性。</w:t>
      </w:r>
    </w:p>
    <w:p>
      <w:pPr>
        <w:pStyle w:val="7"/>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pPr>
      <w:r>
        <w:rPr>
          <w:rFonts w:hint="eastAsia"/>
        </w:rPr>
        <w:t>定性指标：公众评判法，通过问卷及抽样调查等方式评价本项目实施后社会公众对于其实施效果的满意程度。</w:t>
      </w:r>
    </w:p>
    <w:p>
      <w:pPr>
        <w:pStyle w:val="5"/>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5"/>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ascii="仿宋" w:hAnsi="仿宋" w:eastAsia="仿宋" w:cs="仿宋"/>
          <w:szCs w:val="28"/>
        </w:rPr>
      </w:pPr>
      <w:r>
        <w:rPr>
          <w:rFonts w:hint="eastAsia"/>
        </w:rPr>
        <w:t>高电坤（评价小组组长）：主要负责</w:t>
      </w:r>
      <w:r>
        <w:rPr>
          <w:rFonts w:hint="eastAsia" w:ascii="仿宋" w:hAnsi="仿宋" w:eastAsia="仿宋" w:cs="仿宋"/>
          <w:szCs w:val="28"/>
        </w:rPr>
        <w:t>本部门绩效评价工作主要领导</w:t>
      </w:r>
    </w:p>
    <w:p>
      <w:pPr>
        <w:ind w:firstLine="560"/>
        <w:rPr>
          <w:rFonts w:ascii="仿宋" w:hAnsi="仿宋" w:eastAsia="仿宋" w:cs="仿宋"/>
          <w:szCs w:val="28"/>
        </w:rPr>
      </w:pPr>
      <w:r>
        <w:rPr>
          <w:rFonts w:hint="eastAsia"/>
        </w:rPr>
        <w:t>马强（评价小组组员）：主要负责</w:t>
      </w:r>
      <w:r>
        <w:rPr>
          <w:rFonts w:hint="eastAsia" w:ascii="仿宋" w:hAnsi="仿宋" w:eastAsia="仿宋" w:cs="仿宋"/>
          <w:szCs w:val="28"/>
        </w:rPr>
        <w:t>本部门绩效工作分管领导</w:t>
      </w:r>
    </w:p>
    <w:p>
      <w:pPr>
        <w:ind w:firstLine="560"/>
        <w:rPr>
          <w:rFonts w:eastAsia="仿宋"/>
        </w:rPr>
      </w:pPr>
      <w:r>
        <w:rPr>
          <w:rFonts w:hint="eastAsia"/>
        </w:rPr>
        <w:t>董燕（评价小组组员）：主要负责</w:t>
      </w:r>
      <w:r>
        <w:rPr>
          <w:rFonts w:hint="eastAsia" w:ascii="仿宋" w:hAnsi="仿宋" w:eastAsia="仿宋" w:cs="仿宋"/>
          <w:szCs w:val="28"/>
        </w:rPr>
        <w:t>本部门绩效工作主要负责干部</w:t>
      </w:r>
    </w:p>
    <w:p>
      <w:pPr>
        <w:pStyle w:val="5"/>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5"/>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5"/>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有效解决了全县各类矛盾纠纷情况，由于各地区经济发展水平、收入、支出成本的不同以及不规范的财政体制等因素，导致各地区间公共服务水平差异较大，地区间横向的财政收支不平衡。一些关系国计民生和机会均等的公共服务，如教育、医疗、养老等，在不同地区发展很不平衡。这就需要政府进行调节，以满足收入最低地区的最低公共服务需要。极大保障了人民的基本权益，维护社会稳定，持续保障了人民安居乐业，促进社会和谐发展。</w:t>
      </w:r>
    </w:p>
    <w:p>
      <w:pPr>
        <w:ind w:firstLine="560"/>
      </w:pPr>
      <w:r>
        <w:rPr>
          <w:rFonts w:hint="eastAsia"/>
        </w:rPr>
        <w:t>二是：本县司法行政整体工作水平良好，法律服务机构和法律服务工作者服务意识强，给群众留下了良好的形象。</w:t>
      </w:r>
    </w:p>
    <w:p>
      <w:pPr>
        <w:ind w:firstLine="560"/>
      </w:pPr>
      <w:r>
        <w:rPr>
          <w:rFonts w:hint="eastAsia"/>
        </w:rPr>
        <w:t>三是：使得项目受益群众及工作人员满意度达到100%。</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lang w:val="zh-TW"/>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三级指标数量27</w:t>
      </w:r>
      <w:r>
        <w:rPr>
          <w:rFonts w:hint="eastAsia"/>
          <w:lang w:val="zh-TW" w:eastAsia="zh-TW"/>
        </w:rPr>
        <w:t>个，实现</w:t>
      </w:r>
      <w:r>
        <w:rPr>
          <w:rFonts w:hint="eastAsia"/>
        </w:rPr>
        <w:t>三级指标数量27</w:t>
      </w:r>
      <w:r>
        <w:rPr>
          <w:rFonts w:hint="eastAsia"/>
          <w:lang w:val="zh-TW" w:eastAsia="zh-TW"/>
        </w:rPr>
        <w:t>个，</w:t>
      </w:r>
      <w:r>
        <w:rPr>
          <w:rFonts w:hint="eastAsia"/>
        </w:rPr>
        <w:t>总体完成率为100.00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12</w:t>
      </w:r>
      <w:r>
        <w:rPr>
          <w:rFonts w:hint="eastAsia"/>
          <w:lang w:val="zh-TW" w:eastAsia="zh-TW"/>
        </w:rPr>
        <w:t>个，满分指标</w:t>
      </w:r>
      <w:r>
        <w:rPr>
          <w:rFonts w:hint="eastAsia"/>
        </w:rPr>
        <w:t>12</w:t>
      </w:r>
      <w:r>
        <w:rPr>
          <w:rFonts w:hint="eastAsia"/>
          <w:lang w:val="zh-TW" w:eastAsia="zh-TW"/>
        </w:rPr>
        <w:t>个，得分率</w:t>
      </w:r>
      <w:r>
        <w:rPr>
          <w:rFonts w:hint="eastAsia"/>
        </w:rPr>
        <w:t>100.00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5"/>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项目立项符合</w:t>
      </w:r>
      <w:r>
        <w:rPr>
          <w:rFonts w:hint="eastAsia"/>
        </w:rPr>
        <w:t>自治区财政厅《关于提前下达2022年中央政法纪检监察转移支付资金预算的通知（新财行【2021】303号）》</w:t>
      </w:r>
      <w:r>
        <w:rPr>
          <w:rFonts w:hint="eastAsia"/>
          <w:lang w:bidi="ar"/>
        </w:rPr>
        <w:t>执行</w:t>
      </w:r>
      <w:r>
        <w:rPr>
          <w:rFonts w:hint="eastAsia"/>
        </w:rPr>
        <w:t>；本项目</w:t>
      </w:r>
      <w:r>
        <w:rPr>
          <w:rFonts w:hint="eastAsia"/>
          <w:lang w:eastAsia="zh-Hans"/>
        </w:rPr>
        <w:t>立项符合</w:t>
      </w:r>
      <w:r>
        <w:rPr>
          <w:rFonts w:hint="eastAsia"/>
        </w:rPr>
        <w:t>财政部 司法部关于印发《司法行政机关财务管理办法的通知》</w:t>
      </w:r>
      <w:r>
        <w:rPr>
          <w:rFonts w:hint="eastAsia"/>
          <w:lang w:eastAsia="zh-Hans" w:bidi="ar"/>
        </w:rPr>
        <w:t>内容，</w:t>
      </w:r>
      <w:r>
        <w:rPr>
          <w:rFonts w:hint="eastAsia"/>
          <w:lang w:eastAsia="zh-Hans"/>
        </w:rPr>
        <w:t>符合行业发展规划和政策要求</w:t>
      </w:r>
      <w:r>
        <w:rPr>
          <w:rFonts w:hint="eastAsia"/>
        </w:rPr>
        <w:t>；本</w:t>
      </w:r>
      <w:r>
        <w:rPr>
          <w:rFonts w:hint="eastAsia"/>
          <w:lang w:eastAsia="zh-Hans"/>
        </w:rPr>
        <w:t>项目立项符合《</w:t>
      </w:r>
      <w:r>
        <w:rPr>
          <w:rFonts w:hint="eastAsia"/>
        </w:rPr>
        <w:t>洛浦县司法局单位</w:t>
      </w:r>
      <w:r>
        <w:rPr>
          <w:rFonts w:hint="eastAsia"/>
          <w:lang w:eastAsia="zh-Hans"/>
        </w:rPr>
        <w:t>配置内设机构和人员编制规定》中职责范围，属于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公共安全支出</w:t>
      </w:r>
      <w:r>
        <w:rPr>
          <w:rFonts w:hint="eastAsia"/>
          <w:lang w:eastAsia="zh-Hans"/>
        </w:rPr>
        <w:t>”经济分类为“</w:t>
      </w:r>
      <w:r>
        <w:rPr>
          <w:rFonts w:hint="eastAsia"/>
        </w:rPr>
        <w:t>机关商品和服务支出</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overflowPunct w:val="0"/>
        <w:spacing w:line="570" w:lineRule="exact"/>
        <w:ind w:firstLine="560"/>
      </w:pPr>
      <w:r>
        <w:rPr>
          <w:rFonts w:hint="eastAsia"/>
        </w:rPr>
        <w:t>本项目前期准备-组织实施-分析评价。项目立项过程中产生的文件均符合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特定</w:t>
      </w:r>
      <w:r>
        <w:rPr>
          <w:rFonts w:hint="eastAsia"/>
          <w:lang w:eastAsia="zh-Hans"/>
        </w:rPr>
        <w:t>类项目，</w:t>
      </w:r>
      <w:r>
        <w:rPr>
          <w:rFonts w:hint="eastAsia"/>
        </w:rPr>
        <w:t>属于经常性项目，</w:t>
      </w:r>
      <w:r>
        <w:rPr>
          <w:rFonts w:hint="eastAsia"/>
          <w:lang w:eastAsia="zh-Hans"/>
        </w:rPr>
        <w:t>项目预算金额为</w:t>
      </w:r>
      <w:r>
        <w:rPr>
          <w:rFonts w:hint="eastAsia"/>
        </w:rPr>
        <w:t>200.44</w:t>
      </w:r>
      <w:r>
        <w:rPr>
          <w:rFonts w:hint="eastAsia"/>
          <w:lang w:eastAsia="zh-Hans"/>
        </w:rPr>
        <w:t>万元，不涉及</w:t>
      </w:r>
      <w:r>
        <w:rPr>
          <w:rFonts w:hint="eastAsia"/>
        </w:rPr>
        <w:t>事前绩效评估和风险评估，已委托洛浦县司法局完成本项目</w:t>
      </w:r>
      <w:r>
        <w:rPr>
          <w:rFonts w:hint="eastAsia"/>
          <w:lang w:eastAsia="zh-Hans"/>
        </w:rPr>
        <w:t>可行性研究</w:t>
      </w:r>
      <w:r>
        <w:rPr>
          <w:rFonts w:hint="eastAsia"/>
        </w:rPr>
        <w:t>报告的编制，并经过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5"/>
        <w:ind w:firstLine="562"/>
      </w:pPr>
      <w:r>
        <w:rPr>
          <w:rFonts w:hint="eastAsia"/>
        </w:rPr>
        <w:t>2.绩效目标情况分析</w:t>
      </w:r>
    </w:p>
    <w:p>
      <w:pPr>
        <w:ind w:firstLine="562"/>
        <w:rPr>
          <w:b/>
          <w:bCs/>
        </w:rPr>
      </w:pPr>
      <w:r>
        <w:rPr>
          <w:rFonts w:hint="eastAsia"/>
          <w:b/>
          <w:bCs/>
        </w:rPr>
        <w:t>（1）绩效目标合理性</w:t>
      </w:r>
    </w:p>
    <w:p>
      <w:pPr>
        <w:ind w:firstLine="560"/>
        <w:rPr>
          <w:color w:val="44546A" w:themeColor="text2"/>
          <w:lang w:eastAsia="zh-Hans"/>
          <w14:textFill>
            <w14:solidFill>
              <w14:schemeClr w14:val="tx2"/>
            </w14:solidFill>
          </w14:textFill>
        </w:rPr>
      </w:pPr>
      <w:r>
        <w:rPr>
          <w:rFonts w:hint="eastAsia"/>
        </w:rPr>
        <w:t>本项目</w:t>
      </w:r>
      <w:r>
        <w:rPr>
          <w:rFonts w:hint="eastAsia"/>
          <w:color w:val="44546A" w:themeColor="text2"/>
          <w14:textFill>
            <w14:solidFill>
              <w14:schemeClr w14:val="tx2"/>
            </w14:solidFill>
          </w14:textFill>
        </w:rPr>
        <w:t>已设置年度绩效目标，具体内容为“本项目主要实施内容为：1、保障1个局机关及10个乡镇司法所正常运行，调解各类矛盾纠纷案件至少3747件，至少开展普法宣传活动10场次；项目总投资200.44万元，其中全县学法法宣在线账号续费费用3.05万元，调解各类纠纷案件费用4.67万元，保障司法行政运转经费192.72万元。通过本项目的实施，有效解决全县各类矛盾纠纷情况，维护社会稳定，持续保障人民安居乐业，促进社会和谐发展，争取使受益群众及工作人员满意度达到95%以上。”；本项目实际工作为：保障1个局机关及10个乡镇司法所正常运行，调解各类矛盾纠纷案件至少3747件，至少开展普法宣传活动10场次。绩效目标与实际工作内容一致，两者具有相关性;本项目</w:t>
      </w:r>
      <w:r>
        <w:rPr>
          <w:rFonts w:hint="eastAsia"/>
          <w:color w:val="44546A" w:themeColor="text2"/>
          <w:lang w:eastAsia="zh-Hans"/>
          <w14:textFill>
            <w14:solidFill>
              <w14:schemeClr w14:val="tx2"/>
            </w14:solidFill>
          </w14:textFill>
        </w:rPr>
        <w:t>按照绩效目标完成数量指标、质量指标、时效指标、成本指标，</w:t>
      </w:r>
      <w:r>
        <w:rPr>
          <w:rFonts w:hint="eastAsia"/>
          <w:color w:val="44546A" w:themeColor="text2"/>
          <w14:textFill>
            <w14:solidFill>
              <w14:schemeClr w14:val="tx2"/>
            </w14:solidFill>
          </w14:textFill>
        </w:rPr>
        <w:t>有效解决全县各类矛盾纠纷情况，维护社会稳定，持续保障人民安居乐业，促进社会和谐发展，有效解决了全县各类矛盾纠纷情况，维护社会稳定，持续保障了人民安居乐业，促进社会和谐发展，</w:t>
      </w:r>
      <w:r>
        <w:rPr>
          <w:rFonts w:hint="eastAsia"/>
          <w:color w:val="44546A" w:themeColor="text2"/>
          <w:lang w:eastAsia="zh-Hans"/>
          <w14:textFill>
            <w14:solidFill>
              <w14:schemeClr w14:val="tx2"/>
            </w14:solidFill>
          </w14:textFill>
        </w:rPr>
        <w:t>年度绩效目标完成，预期产出效益和效果符合正常的业绩水平。</w:t>
      </w:r>
    </w:p>
    <w:p>
      <w:pPr>
        <w:ind w:firstLine="560"/>
        <w:rPr>
          <w:color w:val="44546A" w:themeColor="text2"/>
          <w:lang w:eastAsia="zh-Hans"/>
          <w14:textFill>
            <w14:solidFill>
              <w14:schemeClr w14:val="tx2"/>
            </w14:solidFill>
          </w14:textFill>
        </w:rPr>
      </w:pPr>
      <w:r>
        <w:rPr>
          <w:rFonts w:hint="eastAsia"/>
          <w:color w:val="44546A" w:themeColor="text2"/>
          <w14:textFill>
            <w14:solidFill>
              <w14:schemeClr w14:val="tx2"/>
            </w14:solidFill>
          </w14:textFill>
        </w:rPr>
        <w:t>综上所述，本</w:t>
      </w:r>
      <w:r>
        <w:rPr>
          <w:rFonts w:hint="eastAsia"/>
          <w:color w:val="44546A" w:themeColor="text2"/>
          <w:lang w:eastAsia="zh-Hans"/>
          <w14:textFill>
            <w14:solidFill>
              <w14:schemeClr w14:val="tx2"/>
            </w14:solidFill>
          </w14:textFill>
        </w:rPr>
        <w:t>指标满分为</w:t>
      </w:r>
      <w:r>
        <w:rPr>
          <w:rFonts w:hint="eastAsia"/>
          <w:color w:val="44546A" w:themeColor="text2"/>
          <w14:textFill>
            <w14:solidFill>
              <w14:schemeClr w14:val="tx2"/>
            </w14:solidFill>
          </w14:textFill>
        </w:rPr>
        <w:t>4</w:t>
      </w:r>
      <w:r>
        <w:rPr>
          <w:rFonts w:hint="eastAsia"/>
          <w:color w:val="44546A" w:themeColor="text2"/>
          <w:lang w:eastAsia="zh-Hans"/>
          <w14:textFill>
            <w14:solidFill>
              <w14:schemeClr w14:val="tx2"/>
            </w14:solidFill>
          </w14:textFill>
        </w:rPr>
        <w:t>分，根据评分标准得</w:t>
      </w:r>
      <w:r>
        <w:rPr>
          <w:rFonts w:hint="eastAsia"/>
          <w:color w:val="44546A" w:themeColor="text2"/>
          <w14:textFill>
            <w14:solidFill>
              <w14:schemeClr w14:val="tx2"/>
            </w14:solidFill>
          </w14:textFill>
        </w:rPr>
        <w:t>4</w:t>
      </w:r>
      <w:r>
        <w:rPr>
          <w:rFonts w:hint="eastAsia"/>
          <w:color w:val="44546A" w:themeColor="text2"/>
          <w:lang w:eastAsia="zh-Hans"/>
          <w14:textFill>
            <w14:solidFill>
              <w14:schemeClr w14:val="tx2"/>
            </w14:solidFill>
          </w14:textFill>
        </w:rPr>
        <w:t>分</w:t>
      </w:r>
      <w:r>
        <w:rPr>
          <w:rFonts w:hint="eastAsia"/>
          <w:color w:val="44546A" w:themeColor="text2"/>
          <w14:textFill>
            <w14:solidFill>
              <w14:schemeClr w14:val="tx2"/>
            </w14:solidFill>
          </w14:textFill>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14</w:t>
      </w:r>
      <w:r>
        <w:rPr>
          <w:rFonts w:hint="eastAsia"/>
          <w:lang w:eastAsia="zh-Hans"/>
        </w:rPr>
        <w:t>个</w:t>
      </w:r>
      <w:r>
        <w:rPr>
          <w:rFonts w:hint="eastAsia"/>
        </w:rPr>
        <w:t>，</w:t>
      </w:r>
      <w:r>
        <w:rPr>
          <w:rFonts w:hint="eastAsia"/>
          <w:lang w:eastAsia="zh-Hans"/>
        </w:rPr>
        <w:t>定量指标</w:t>
      </w:r>
      <w:r>
        <w:rPr>
          <w:rFonts w:hint="eastAsia"/>
        </w:rPr>
        <w:t>11</w:t>
      </w:r>
      <w:r>
        <w:rPr>
          <w:rFonts w:hint="eastAsia"/>
          <w:lang w:eastAsia="zh-Hans"/>
        </w:rPr>
        <w:t>个，定性指标</w:t>
      </w:r>
      <w:r>
        <w:rPr>
          <w:rFonts w:hint="eastAsia"/>
        </w:rPr>
        <w:t>3</w:t>
      </w:r>
      <w:r>
        <w:rPr>
          <w:rFonts w:hint="eastAsia"/>
          <w:lang w:eastAsia="zh-Hans"/>
        </w:rPr>
        <w:t>个，指标量化率为</w:t>
      </w:r>
      <w:r>
        <w:rPr>
          <w:rFonts w:hint="eastAsia"/>
        </w:rPr>
        <w:t>78.57</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5"/>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lang w:bidi="ar"/>
        </w:rPr>
      </w:pPr>
      <w:r>
        <w:rPr>
          <w:rFonts w:hint="eastAsia"/>
          <w:lang w:bidi="ar"/>
        </w:rPr>
        <w:t>本</w:t>
      </w:r>
      <w:r>
        <w:rPr>
          <w:rFonts w:hint="eastAsia"/>
          <w:lang w:eastAsia="zh-Hans" w:bidi="ar"/>
        </w:rPr>
        <w:t>项目预算编制通过市场询价得出，即预算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w:t>
      </w:r>
      <w:r>
        <w:rPr>
          <w:rFonts w:hint="eastAsia"/>
          <w:lang w:bidi="ar"/>
        </w:rPr>
        <w:t>保障1个局机关及10个乡镇司法所正常运行，调解各类矛盾纠纷案件至少3747件</w:t>
      </w:r>
      <w:r>
        <w:rPr>
          <w:rFonts w:hint="eastAsia"/>
          <w:lang w:eastAsia="zh-Hans" w:bidi="ar"/>
        </w:rPr>
        <w:t>，项目实际内容为</w:t>
      </w:r>
      <w:r>
        <w:rPr>
          <w:rFonts w:hint="eastAsia"/>
          <w:lang w:bidi="ar"/>
        </w:rPr>
        <w:t>保障1个局机关及10个乡镇司法所正常运行以及人民调解案件补贴和无纸化学法续费等。</w:t>
      </w:r>
      <w:r>
        <w:rPr>
          <w:rFonts w:hint="eastAsia"/>
          <w:lang w:eastAsia="zh-Hans" w:bidi="ar"/>
        </w:rPr>
        <w:t>，预算申请与《</w:t>
      </w:r>
      <w:r>
        <w:rPr>
          <w:rFonts w:hint="eastAsia"/>
          <w:lang w:bidi="ar"/>
        </w:rPr>
        <w:t>洛浦县2022年中央政法转移支付资金项目实施方案</w:t>
      </w:r>
      <w:r>
        <w:rPr>
          <w:rFonts w:hint="eastAsia"/>
          <w:lang w:eastAsia="zh-Hans" w:bidi="ar"/>
        </w:rPr>
        <w:t>》中涉及的项目内容匹配</w:t>
      </w:r>
      <w:r>
        <w:rPr>
          <w:rFonts w:hint="eastAsia"/>
          <w:lang w:bidi="ar"/>
        </w:rPr>
        <w:t>；</w:t>
      </w:r>
    </w:p>
    <w:p>
      <w:pPr>
        <w:ind w:firstLine="560"/>
        <w:rPr>
          <w:lang w:bidi="ar"/>
        </w:rPr>
      </w:pPr>
      <w:r>
        <w:rPr>
          <w:rFonts w:hint="eastAsia"/>
        </w:rPr>
        <w:t>本项目预算申请资金200.44万元，我单位在预算申请中严格按照单位标准和数量进行核算，其中：全县学法法宣在线账号续费费用3.05万元；调解各类纠纷案件费用4.67万元；保障司法行政运转经费192.72万元。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rPr>
        <w:t>自治区财政厅《关于提前下达2022年中央政法纪检监察转移支付资金预算的通知（新财行【2021】303号）》</w:t>
      </w:r>
      <w:r>
        <w:rPr>
          <w:rFonts w:hint="eastAsia"/>
          <w:lang w:eastAsia="zh-Hans" w:bidi="ar"/>
        </w:rPr>
        <w:t>为依据进行资金分配，预算资金分配依据充分</w:t>
      </w:r>
      <w:r>
        <w:rPr>
          <w:rFonts w:hint="eastAsia"/>
          <w:lang w:bidi="ar"/>
        </w:rPr>
        <w:t>。根据相关文件显示，本项目实际到位资金200.44万元，实际分配资金与我单位提交申请的资金额度一致，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本项目预算资金为200.44万元，其中：本级财政安排资金200.44万元，其他资金0.00万元，实际到位资金200.44万元，资金到位率100.00%。得分4分。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rPr>
          <w:color w:val="FF0000"/>
        </w:rPr>
      </w:pPr>
      <w:r>
        <w:rPr>
          <w:rFonts w:hint="eastAsia"/>
          <w:b/>
          <w:bCs/>
        </w:rPr>
        <w:t>（2）预算执行率</w:t>
      </w:r>
    </w:p>
    <w:p>
      <w:pPr>
        <w:ind w:firstLine="560"/>
      </w:pPr>
      <w:r>
        <w:rPr>
          <w:rFonts w:hint="eastAsia"/>
        </w:rPr>
        <w:t>本项目实际支出资金200.44万元，</w:t>
      </w:r>
      <w:r>
        <w:rPr>
          <w:rFonts w:hint="eastAsia"/>
          <w:lang w:eastAsia="zh-Hans"/>
        </w:rPr>
        <w:t>预算执行率</w:t>
      </w:r>
      <w:r>
        <w:rPr>
          <w:rFonts w:hint="eastAsia"/>
        </w:rPr>
        <w:t>100.00%。得分5分。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司法行政机关财务管理</w:t>
      </w:r>
      <w:r>
        <w:t>办法》</w:t>
      </w:r>
      <w:r>
        <w:rPr>
          <w:rFonts w:hint="eastAsia"/>
        </w:rPr>
        <w:t>，</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w:t>
      </w:r>
      <w:r>
        <w:rPr>
          <w:rFonts w:hint="eastAsia"/>
          <w:lang w:eastAsia="zh-Hans"/>
        </w:rPr>
        <w:t>据评分标准得</w:t>
      </w:r>
      <w:r>
        <w:rPr>
          <w:rFonts w:hint="eastAsia"/>
        </w:rPr>
        <w:t>4</w:t>
      </w:r>
      <w:r>
        <w:rPr>
          <w:rFonts w:hint="eastAsia"/>
          <w:lang w:eastAsia="zh-Hans"/>
        </w:rPr>
        <w:t>分</w:t>
      </w:r>
      <w:r>
        <w:rPr>
          <w:rFonts w:hint="eastAsia"/>
        </w:rPr>
        <w:t>，资金支出符合我单位财务管理制度规定。</w:t>
      </w:r>
    </w:p>
    <w:p>
      <w:pPr>
        <w:pStyle w:val="5"/>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县司法局资金管理办法》、《收支业务管理制度》、《政府采购业务管理制度》、《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w:t>
      </w:r>
      <w:r>
        <w:rPr>
          <w:rFonts w:hint="eastAsia"/>
          <w:lang w:eastAsia="zh-Hans"/>
        </w:rPr>
        <w:t>，根据评分标准得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中央专项资金项目工作领导小组，由党组书记高电坤任组长，负责项目的组织工作；阿布来提·卡斯木任副组长，负责项目的实施工作；组员包括：马强和董燕，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12</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1.数量指标完成情况分析</w:t>
      </w:r>
    </w:p>
    <w:p>
      <w:pPr>
        <w:ind w:firstLine="560"/>
      </w:pPr>
      <w:r>
        <w:rPr>
          <w:rFonts w:hint="eastAsia"/>
        </w:rPr>
        <w:t>保障局机关及乡镇司法所数量:预期指标值为≥11个，实际完成值为11个,指标完成率为100%。</w:t>
      </w:r>
    </w:p>
    <w:p>
      <w:pPr>
        <w:ind w:firstLine="560"/>
      </w:pPr>
      <w:r>
        <w:rPr>
          <w:rFonts w:hint="eastAsia"/>
        </w:rPr>
        <w:t>调解各类纠纷案件数量:预期指标值为≥3747件，实际完成值为3747件,指标完成率为100%。</w:t>
      </w:r>
    </w:p>
    <w:p>
      <w:pPr>
        <w:pStyle w:val="2"/>
        <w:spacing w:line="560" w:lineRule="exact"/>
        <w:ind w:firstLine="560" w:firstLineChars="200"/>
        <w:rPr>
          <w:rFonts w:ascii="仿宋_GB2312" w:hAnsi="仿宋_GB2312" w:eastAsia="仿宋_GB2312"/>
          <w:color w:val="FF0000"/>
          <w:sz w:val="28"/>
          <w:szCs w:val="24"/>
        </w:rPr>
      </w:pPr>
      <w:r>
        <w:rPr>
          <w:rFonts w:hint="eastAsia" w:ascii="仿宋_GB2312" w:hAnsi="仿宋_GB2312" w:eastAsia="仿宋_GB2312"/>
          <w:sz w:val="28"/>
          <w:szCs w:val="24"/>
        </w:rPr>
        <w:t>开展普法宣传活动场次:预期指标值为≥10次，实际完成值为10次,指标完成率为100%。</w:t>
      </w:r>
    </w:p>
    <w:p>
      <w:pPr>
        <w:pStyle w:val="5"/>
        <w:ind w:firstLine="562"/>
      </w:pPr>
      <w:r>
        <w:rPr>
          <w:rFonts w:hint="eastAsia"/>
        </w:rPr>
        <w:t>2.质量指标完成情况分析</w:t>
      </w:r>
    </w:p>
    <w:p>
      <w:pPr>
        <w:ind w:firstLine="560"/>
      </w:pPr>
      <w:r>
        <w:rPr>
          <w:rFonts w:hint="eastAsia"/>
        </w:rPr>
        <w:t>案件结案率:预期指标值为&gt;=98%，实际完成值为98%,指标完成率为100%。</w:t>
      </w:r>
    </w:p>
    <w:p>
      <w:pPr>
        <w:ind w:firstLine="560"/>
      </w:pPr>
      <w:r>
        <w:rPr>
          <w:rFonts w:hint="eastAsia"/>
        </w:rPr>
        <w:t>批准案件指派率:预期指标值为=100%，实际完成值为100%,指标完成率为100%。</w:t>
      </w:r>
    </w:p>
    <w:p>
      <w:pPr>
        <w:ind w:firstLine="560"/>
      </w:pPr>
      <w:r>
        <w:rPr>
          <w:rFonts w:hint="eastAsia"/>
        </w:rPr>
        <w:t>资金使用合规率:预期指标值为=100%，实际完成值为100%,指标完成率为100%。</w:t>
      </w:r>
    </w:p>
    <w:p>
      <w:pPr>
        <w:pStyle w:val="5"/>
        <w:ind w:firstLine="562"/>
      </w:pPr>
      <w:r>
        <w:rPr>
          <w:rFonts w:hint="eastAsia"/>
        </w:rPr>
        <w:t>3.时效指标完成情况分析</w:t>
      </w:r>
    </w:p>
    <w:p>
      <w:pPr>
        <w:ind w:firstLine="560"/>
      </w:pPr>
      <w:r>
        <w:rPr>
          <w:rFonts w:hint="eastAsia"/>
        </w:rPr>
        <w:t>受理案件审批及时率:预期指标值为=100%，实际完成值为100%,指标完成率为100%。</w:t>
      </w:r>
    </w:p>
    <w:p>
      <w:pPr>
        <w:ind w:firstLine="560"/>
      </w:pPr>
      <w:r>
        <w:rPr>
          <w:rFonts w:hint="eastAsia"/>
        </w:rPr>
        <w:t>资金支付及时率:预期指标值为=100%，实际完成值为100%,指标完成率为100%。</w:t>
      </w:r>
    </w:p>
    <w:p>
      <w:pPr>
        <w:ind w:firstLine="560"/>
      </w:pPr>
      <w:r>
        <w:rPr>
          <w:rFonts w:hint="eastAsia"/>
        </w:rPr>
        <w:t>项目完成时间:预期指标值为2022年12月31日，实际完成值为2022年12月31日,指标完成率为100%。</w:t>
      </w:r>
    </w:p>
    <w:p>
      <w:pPr>
        <w:pStyle w:val="5"/>
        <w:ind w:firstLine="562"/>
      </w:pPr>
      <w:r>
        <w:rPr>
          <w:rFonts w:hint="eastAsia"/>
        </w:rPr>
        <w:t>4.成本指标完成情况分析</w:t>
      </w:r>
    </w:p>
    <w:p>
      <w:pPr>
        <w:ind w:firstLine="560"/>
      </w:pPr>
      <w:r>
        <w:rPr>
          <w:rFonts w:hint="eastAsia"/>
        </w:rPr>
        <w:t>全县学法法宣在线账号续费费用:预期指标值为&lt;=3.05万元，实际完成值为3.05万元,指标完成率为100%。</w:t>
      </w:r>
    </w:p>
    <w:p>
      <w:pPr>
        <w:ind w:firstLine="560"/>
      </w:pPr>
      <w:r>
        <w:rPr>
          <w:rFonts w:hint="eastAsia"/>
        </w:rPr>
        <w:t>调解各类纠纷案件费用:预期指标值为&lt;=4.67万元，实际完成值为4.67万元,指标完成率为100%。</w:t>
      </w:r>
    </w:p>
    <w:p>
      <w:pPr>
        <w:ind w:firstLine="560"/>
      </w:pPr>
      <w:r>
        <w:rPr>
          <w:rFonts w:hint="eastAsia"/>
        </w:rPr>
        <w:t>保障司法行政运转经费:预期指标值为&lt;=192.72万元，实际完成值为192.72万元,指标完成率为100%。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u w:color="000000"/>
          <w:lang w:val="zh-TW" w:eastAsia="zh-TW"/>
        </w:rPr>
        <w:t>级指标和</w:t>
      </w:r>
      <w:r>
        <w:rPr>
          <w:rFonts w:hint="eastAsia" w:cs="仿宋_GB2312"/>
        </w:rPr>
        <w:t>2</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u w:color="000000"/>
        </w:rPr>
        <w:t>40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1.经济效益完成情况分析</w:t>
      </w:r>
    </w:p>
    <w:p>
      <w:pPr>
        <w:pStyle w:val="5"/>
        <w:ind w:firstLine="560"/>
        <w:rPr>
          <w:rFonts w:cs="仿宋_GB2312"/>
          <w:b w:val="0"/>
          <w:bCs w:val="0"/>
          <w:kern w:val="2"/>
          <w:szCs w:val="24"/>
        </w:rPr>
      </w:pPr>
      <w:r>
        <w:rPr>
          <w:rFonts w:hint="eastAsia" w:cs="仿宋_GB2312"/>
          <w:b w:val="0"/>
          <w:bCs w:val="0"/>
          <w:kern w:val="2"/>
          <w:szCs w:val="24"/>
        </w:rPr>
        <w:t>无。</w:t>
      </w:r>
    </w:p>
    <w:p>
      <w:pPr>
        <w:pStyle w:val="5"/>
        <w:ind w:firstLine="562"/>
      </w:pPr>
      <w:r>
        <w:rPr>
          <w:rFonts w:hint="eastAsia"/>
        </w:rPr>
        <w:t>2.社会效益完成情况分析</w:t>
      </w:r>
    </w:p>
    <w:p>
      <w:pPr>
        <w:ind w:firstLine="560"/>
      </w:pPr>
      <w:r>
        <w:rPr>
          <w:rFonts w:hint="eastAsia"/>
        </w:rPr>
        <w:t>解决全县各类矛盾纠纷情况，维护社会稳定:预期指标值为有效解决，实际完成值为有效解决,指标完成率为100%。</w:t>
      </w:r>
    </w:p>
    <w:p>
      <w:pPr>
        <w:pStyle w:val="5"/>
        <w:ind w:firstLine="562"/>
      </w:pPr>
      <w:r>
        <w:rPr>
          <w:rFonts w:hint="eastAsia"/>
        </w:rPr>
        <w:t>3.生态效益完成情况分析</w:t>
      </w:r>
    </w:p>
    <w:p>
      <w:pPr>
        <w:pStyle w:val="5"/>
        <w:ind w:firstLine="560"/>
        <w:rPr>
          <w:rFonts w:cs="仿宋_GB2312"/>
          <w:b w:val="0"/>
          <w:bCs w:val="0"/>
          <w:kern w:val="2"/>
          <w:szCs w:val="24"/>
        </w:rPr>
      </w:pPr>
      <w:r>
        <w:rPr>
          <w:rFonts w:hint="eastAsia" w:cs="仿宋_GB2312"/>
          <w:b w:val="0"/>
          <w:bCs w:val="0"/>
          <w:kern w:val="2"/>
          <w:szCs w:val="24"/>
        </w:rPr>
        <w:t>无。</w:t>
      </w:r>
    </w:p>
    <w:p>
      <w:pPr>
        <w:pStyle w:val="5"/>
        <w:ind w:firstLine="562"/>
      </w:pPr>
      <w:r>
        <w:rPr>
          <w:rFonts w:hint="eastAsia"/>
        </w:rPr>
        <w:t>4.可持续影响完成情况分析</w:t>
      </w:r>
    </w:p>
    <w:p>
      <w:pPr>
        <w:ind w:firstLine="560"/>
      </w:pPr>
      <w:r>
        <w:rPr>
          <w:rFonts w:hint="eastAsia"/>
        </w:rPr>
        <w:t>保障人民安居乐业，促进社会和谐发展:预期指标值为持续保障，实际完成值为持续保障,指标完成率为100%。</w:t>
      </w:r>
    </w:p>
    <w:p>
      <w:pPr>
        <w:ind w:firstLine="562"/>
        <w:rPr>
          <w:b/>
          <w:bCs/>
          <w:kern w:val="0"/>
          <w:szCs w:val="32"/>
        </w:rPr>
      </w:pPr>
      <w:r>
        <w:rPr>
          <w:rFonts w:hint="eastAsia"/>
          <w:b/>
          <w:bCs/>
          <w:kern w:val="0"/>
          <w:szCs w:val="32"/>
        </w:rPr>
        <w:t>5.满意度指标完成情况分析</w:t>
      </w:r>
    </w:p>
    <w:p>
      <w:pPr>
        <w:ind w:firstLine="560"/>
      </w:pPr>
      <w:r>
        <w:rPr>
          <w:rFonts w:hint="eastAsia"/>
        </w:rPr>
        <w:t>受益群众满意度:预期指标值为&gt;=95%，实际完成值为100%,指标完成率为100%。</w:t>
      </w:r>
    </w:p>
    <w:p>
      <w:pPr>
        <w:ind w:firstLine="560"/>
      </w:pPr>
      <w:r>
        <w:rPr>
          <w:rFonts w:hint="eastAsia"/>
        </w:rPr>
        <w:t>工作人员满意度:预期指标值为&gt;=95%，实际完成值为100%,指标完成率为100%。</w:t>
      </w:r>
    </w:p>
    <w:p>
      <w:pPr>
        <w:pStyle w:val="3"/>
        <w:ind w:firstLine="643"/>
      </w:pPr>
      <w:r>
        <w:rPr>
          <w:rFonts w:hint="eastAsia"/>
        </w:rPr>
        <w:t>五、预算执行进度与绩效指标偏差</w:t>
      </w:r>
    </w:p>
    <w:p>
      <w:pPr>
        <w:ind w:firstLine="560"/>
      </w:pPr>
      <w:r>
        <w:rPr>
          <w:rFonts w:hint="eastAsia"/>
        </w:rPr>
        <w:t>本项目年初预算资金总额为200.44万元，全年预算数为200.44万元，全年执行数为200.44万元，预算执行率为100.00%。</w:t>
      </w:r>
    </w:p>
    <w:p>
      <w:pPr>
        <w:pStyle w:val="7"/>
        <w:ind w:firstLine="560"/>
      </w:pPr>
      <w:r>
        <w:rPr>
          <w:rFonts w:hint="eastAsia"/>
        </w:rPr>
        <w:t>本</w:t>
      </w:r>
      <w:r>
        <w:rPr>
          <w:rFonts w:hint="eastAsia"/>
          <w:lang w:val="zh-TW" w:eastAsia="zh-TW"/>
        </w:rPr>
        <w:t>项目共设置</w:t>
      </w:r>
      <w:r>
        <w:rPr>
          <w:rFonts w:hint="eastAsia"/>
        </w:rPr>
        <w:t>三级指标数量27</w:t>
      </w:r>
      <w:r>
        <w:rPr>
          <w:rFonts w:hint="eastAsia"/>
          <w:lang w:val="zh-TW" w:eastAsia="zh-TW"/>
        </w:rPr>
        <w:t>个，</w:t>
      </w:r>
      <w:r>
        <w:rPr>
          <w:rFonts w:hint="eastAsia"/>
          <w:lang w:val="zh-TW"/>
        </w:rPr>
        <w:t>满分指标数量</w:t>
      </w:r>
      <w:r>
        <w:rPr>
          <w:rFonts w:hint="eastAsia"/>
        </w:rPr>
        <w:t>27个，扣分指标数量0个，经分析计算所有三级指标完成率得出，本项目总体完成率为100.00</w:t>
      </w:r>
      <w:r>
        <w:rPr>
          <w:rFonts w:hint="eastAsia"/>
          <w:lang w:val="zh-TW" w:eastAsia="zh-TW"/>
        </w:rPr>
        <w:t>%。</w:t>
      </w:r>
    </w:p>
    <w:p>
      <w:pPr>
        <w:pStyle w:val="7"/>
        <w:ind w:firstLine="560"/>
        <w:rPr>
          <w:color w:val="FF0000"/>
        </w:rPr>
      </w:pPr>
      <w:r>
        <w:rPr>
          <w:rFonts w:hint="eastAsia"/>
        </w:rPr>
        <w:t>综上所述本项目预算执行率与总体完成率之间的偏差为0.00%。</w:t>
      </w:r>
    </w:p>
    <w:p>
      <w:pPr>
        <w:pStyle w:val="3"/>
        <w:ind w:firstLine="643"/>
      </w:pPr>
      <w:r>
        <w:rPr>
          <w:rFonts w:hint="eastAsia"/>
        </w:rPr>
        <w:t>六、主要经验及做法、存在的问题及原因分析</w:t>
      </w:r>
    </w:p>
    <w:p>
      <w:pPr>
        <w:pStyle w:val="4"/>
        <w:numPr>
          <w:ilvl w:val="0"/>
          <w:numId w:val="4"/>
        </w:numPr>
        <w:ind w:firstLine="643"/>
      </w:pPr>
      <w:bookmarkStart w:id="12" w:name="_Toc1921"/>
      <w:bookmarkStart w:id="13" w:name="_Toc28290"/>
      <w:r>
        <w:rPr>
          <w:rFonts w:hint="eastAsia"/>
        </w:rPr>
        <w:t>主要经验及做法</w:t>
      </w:r>
    </w:p>
    <w:p>
      <w:pPr>
        <w:ind w:firstLine="600"/>
        <w:rPr>
          <w:sz w:val="30"/>
          <w:szCs w:val="30"/>
        </w:rPr>
      </w:pPr>
      <w:r>
        <w:rPr>
          <w:rFonts w:hint="eastAsia"/>
          <w:sz w:val="30"/>
          <w:szCs w:val="30"/>
        </w:rPr>
        <w:t>本项目通过绩效目标评价管理，总结了工作中的较好的经验。项目实施过程中，洛浦县司法局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ind w:firstLine="600"/>
        <w:rPr>
          <w:sz w:val="30"/>
          <w:szCs w:val="30"/>
        </w:rPr>
      </w:pPr>
      <w:r>
        <w:rPr>
          <w:rFonts w:hint="eastAsia"/>
          <w:sz w:val="30"/>
          <w:szCs w:val="30"/>
        </w:rPr>
        <w:t>实施本项目过程中，采取积极有效的措施，在用好、管好项目资金的同时，制定切实可行的资金使用方案，保证项目能够如期完成。为保证项目的顺利实施，洛浦县司法局严格按照《关于印发&lt;和田地区财政资金使用跟踪反馈管理暂行办法&gt;的通知》（和地财预〔2018〕67号）《自治区区财政资金使用跟踪反馈管理暂行办法》（新财预〔2016〕113号），《关于拨付2021年中央政法纪检监察转移支付资金的通知》（和地财行〔2021〕15号）文件要求实施该项目，保证项目顺利进行。</w:t>
      </w:r>
    </w:p>
    <w:p>
      <w:pPr>
        <w:ind w:firstLine="560"/>
      </w:pPr>
      <w:r>
        <w:rPr>
          <w:rFonts w:hint="eastAsia"/>
        </w:rPr>
        <w:t>加强对人民调解工作指导，以及对人民调解员业务培训和业务书籍订阅学习等，提高了人民调解员的业务水平，掌握更多法律知识，规范了人民调解工作，及时排查化解各类矛盾纠纷；积极参与多元化解矛盾纠纷调处，加强与法院在构建多元化矛盾纠纷化解工作机制上的沟通和探索，实现了州、县两级诉前委派调解全覆盖，探索实践高效便捷、成本惠民的解纷模式，切实维护社会稳定。</w:t>
      </w:r>
    </w:p>
    <w:bookmarkEnd w:id="12"/>
    <w:bookmarkEnd w:id="13"/>
    <w:p>
      <w:pPr>
        <w:pStyle w:val="4"/>
        <w:numPr>
          <w:ilvl w:val="0"/>
          <w:numId w:val="4"/>
        </w:numPr>
        <w:ind w:firstLine="643"/>
      </w:pPr>
      <w:r>
        <w:rPr>
          <w:rFonts w:hint="eastAsia"/>
        </w:rPr>
        <w:t>存在的问题及原因分析</w:t>
      </w:r>
    </w:p>
    <w:p>
      <w:pPr>
        <w:ind w:firstLine="560"/>
      </w:pPr>
      <w:r>
        <w:rPr>
          <w:rFonts w:hint="eastAsia"/>
        </w:rPr>
        <w:t>通过绩效评价管理，发现了工作的中的不足，如：</w:t>
      </w:r>
    </w:p>
    <w:p>
      <w:pPr>
        <w:ind w:firstLine="560"/>
      </w:pPr>
      <w:r>
        <w:rPr>
          <w:rFonts w:hint="eastAsia"/>
        </w:rPr>
        <w:t>（一）对项目绩效管理工作不够重视，档案的归纳与整理不够及时。下一步及时整理、收集、汇总，健全档案资料。</w:t>
      </w:r>
    </w:p>
    <w:p>
      <w:pPr>
        <w:ind w:firstLine="560"/>
      </w:pPr>
      <w:r>
        <w:rPr>
          <w:rFonts w:hint="eastAsia"/>
        </w:rPr>
        <w:t>（二）进一步理顺责任关系，完善项目实施机制， 提高项目管理规范性。建立健全项目管理机制，明确各级管理部门对项目管理的责任，进一步完善项目监督管理机制，加强对项目实施各环节和预算执行的“双监控”。</w:t>
      </w:r>
    </w:p>
    <w:p>
      <w:pPr>
        <w:ind w:firstLine="560"/>
      </w:pPr>
      <w:r>
        <w:rPr>
          <w:rFonts w:hint="eastAsia"/>
        </w:rPr>
        <w:t>（三）对项目自评工作欠积极性，上报资料不及时，敷衍了事。下一步应加强单位绩效培训贡献工作，提高绩效管理工作整体质量。</w:t>
      </w:r>
    </w:p>
    <w:p>
      <w:pPr>
        <w:pStyle w:val="3"/>
        <w:numPr>
          <w:ilvl w:val="0"/>
          <w:numId w:val="5"/>
        </w:numPr>
        <w:ind w:firstLine="643"/>
      </w:pPr>
      <w:r>
        <w:rPr>
          <w:rFonts w:hint="eastAsia"/>
        </w:rPr>
        <w:t>有关建议</w:t>
      </w:r>
    </w:p>
    <w:p>
      <w:pPr>
        <w:ind w:firstLine="560"/>
      </w:pPr>
      <w:r>
        <w:rPr>
          <w:rFonts w:hint="eastAsia"/>
        </w:rPr>
        <w:t>(一）加强预算编制审核力度，明确项目实际需要，制定合理预算，不占用多余资金，发挥好财政资金的作用。加强预算绩效管理，避免预算编制和实际使用脱节。</w:t>
      </w:r>
    </w:p>
    <w:p>
      <w:pPr>
        <w:ind w:firstLine="560"/>
      </w:pPr>
      <w:r>
        <w:rPr>
          <w:rFonts w:hint="eastAsia"/>
        </w:rPr>
        <w:t>（二）加强法律援助宣传力度建立健全工作制度，完善工作机制，优化工作流程，有计划、有针对性、多形式开展切实有效的法律援助宣传，提高法律援助知晓率。</w:t>
      </w:r>
    </w:p>
    <w:p>
      <w:pPr>
        <w:ind w:firstLine="560"/>
      </w:pPr>
      <w:r>
        <w:rPr>
          <w:rFonts w:hint="eastAsia"/>
        </w:rPr>
        <w:t>（三）强化资金监管手段，管理和使用。针对项目预算执行率不高情况，一是切实履行项目资金使用监管的主体责任，对项目资金使用管理各环节开展自查自纠， 全面清理整改项目资金使用管理中存在的突出问题，及时纠偏项目实施单位资金使用不规范的情况，提高资金的预算执行率和项目的实施进度。二是落实资金使用单位的责任。明确各项目单位对于专项资金规范使用的主体责任，强化规范使用资金的意识，提高专项资金管理水平，确保专款专用、资金支付手续和流程合法合规，提升资金使用的规范性。</w:t>
      </w:r>
    </w:p>
    <w:p>
      <w:pPr>
        <w:ind w:firstLine="560"/>
      </w:pPr>
      <w:r>
        <w:rPr>
          <w:rFonts w:hint="eastAsia"/>
        </w:rPr>
        <w:t>（四）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79DA0EE"/>
    <w:multiLevelType w:val="singleLevel"/>
    <w:tmpl w:val="F79DA0EE"/>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Y2FkMmEwMTI3ZGUwMWI2OTdkNjgyMjg5NWY3OGYifQ=="/>
  </w:docVars>
  <w:rsids>
    <w:rsidRoot w:val="68291A1A"/>
    <w:rsid w:val="00154942"/>
    <w:rsid w:val="001C088B"/>
    <w:rsid w:val="00272D23"/>
    <w:rsid w:val="00405483"/>
    <w:rsid w:val="006D6EBD"/>
    <w:rsid w:val="00880920"/>
    <w:rsid w:val="00885A15"/>
    <w:rsid w:val="00A43D0F"/>
    <w:rsid w:val="00A83364"/>
    <w:rsid w:val="00AC7D4C"/>
    <w:rsid w:val="00DA0BA5"/>
    <w:rsid w:val="00E01AC9"/>
    <w:rsid w:val="00EC4605"/>
    <w:rsid w:val="00ED628D"/>
    <w:rsid w:val="00F77FAE"/>
    <w:rsid w:val="00FB5B81"/>
    <w:rsid w:val="00FE2E85"/>
    <w:rsid w:val="01210E75"/>
    <w:rsid w:val="01E925F2"/>
    <w:rsid w:val="044C08A7"/>
    <w:rsid w:val="04FF572D"/>
    <w:rsid w:val="066F70AA"/>
    <w:rsid w:val="073F0F06"/>
    <w:rsid w:val="099D6902"/>
    <w:rsid w:val="0A401CF1"/>
    <w:rsid w:val="0AD64679"/>
    <w:rsid w:val="0D537DC9"/>
    <w:rsid w:val="0D885E3E"/>
    <w:rsid w:val="0DC325BE"/>
    <w:rsid w:val="0E760F4E"/>
    <w:rsid w:val="0F9F0794"/>
    <w:rsid w:val="1103023A"/>
    <w:rsid w:val="118C0775"/>
    <w:rsid w:val="11B761D9"/>
    <w:rsid w:val="128D0D77"/>
    <w:rsid w:val="12F1313F"/>
    <w:rsid w:val="1609105D"/>
    <w:rsid w:val="17AF7810"/>
    <w:rsid w:val="1A041D47"/>
    <w:rsid w:val="1A7C3030"/>
    <w:rsid w:val="1BEA0FE8"/>
    <w:rsid w:val="1C4A596B"/>
    <w:rsid w:val="20A32962"/>
    <w:rsid w:val="20B21A37"/>
    <w:rsid w:val="21A41209"/>
    <w:rsid w:val="23C93BD9"/>
    <w:rsid w:val="245E1E24"/>
    <w:rsid w:val="256845EA"/>
    <w:rsid w:val="26EF3957"/>
    <w:rsid w:val="27621365"/>
    <w:rsid w:val="2A053F0F"/>
    <w:rsid w:val="2A0C569A"/>
    <w:rsid w:val="2A5C3075"/>
    <w:rsid w:val="2B1F5779"/>
    <w:rsid w:val="2C103347"/>
    <w:rsid w:val="2D18563E"/>
    <w:rsid w:val="2DFA2E97"/>
    <w:rsid w:val="2E483E7E"/>
    <w:rsid w:val="2EAA6607"/>
    <w:rsid w:val="2FCE2953"/>
    <w:rsid w:val="2FDE37A9"/>
    <w:rsid w:val="315B7BD0"/>
    <w:rsid w:val="332F7DDD"/>
    <w:rsid w:val="33944516"/>
    <w:rsid w:val="33FE342B"/>
    <w:rsid w:val="34047E51"/>
    <w:rsid w:val="3522787D"/>
    <w:rsid w:val="36185B49"/>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3531FA"/>
    <w:rsid w:val="5F9C5101"/>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_Style 1"/>
    <w:qFormat/>
    <w:uiPriority w:val="0"/>
    <w:pPr>
      <w:widowControl w:val="0"/>
      <w:jc w:val="both"/>
    </w:pPr>
    <w:rPr>
      <w:rFonts w:ascii="Calibri" w:hAnsi="Calibri" w:eastAsia="宋体" w:cs="Times New Roman"/>
      <w:kern w:val="2"/>
      <w:sz w:val="21"/>
      <w:szCs w:val="22"/>
      <w:lang w:val="en-US" w:eastAsia="zh-CN" w:bidi="ar-SA"/>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next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2023</Words>
  <Characters>11532</Characters>
  <Lines>96</Lines>
  <Paragraphs>27</Paragraphs>
  <TotalTime>23</TotalTime>
  <ScaleCrop>false</ScaleCrop>
  <LinksUpToDate>false</LinksUpToDate>
  <CharactersWithSpaces>13528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2024-08-13T08:34:38Z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