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7C3AB8">
      <w:pPr>
        <w:pStyle w:val="2"/>
        <w:ind w:firstLine="0" w:firstLineChars="0"/>
        <w:rPr>
          <w:rFonts w:ascii="宋体" w:hAnsi="宋体" w:eastAsia="宋体" w:cs="Arial"/>
          <w:sz w:val="36"/>
          <w:szCs w:val="36"/>
        </w:rPr>
      </w:pPr>
    </w:p>
    <w:p w14:paraId="082067C6">
      <w:pPr>
        <w:ind w:firstLine="560"/>
      </w:pPr>
    </w:p>
    <w:p w14:paraId="33A309C2">
      <w:pPr>
        <w:ind w:firstLine="0" w:firstLineChars="0"/>
        <w:jc w:val="center"/>
        <w:rPr>
          <w:rFonts w:ascii="宋体" w:hAnsi="宋体" w:eastAsia="宋体" w:cs="Arial"/>
          <w:b/>
          <w:bCs/>
          <w:sz w:val="36"/>
          <w:szCs w:val="36"/>
        </w:rPr>
      </w:pPr>
    </w:p>
    <w:p w14:paraId="56FC640D">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洛浦县2022年项目管理费项目支出</w:t>
      </w:r>
    </w:p>
    <w:p w14:paraId="7DA685E6">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绩效评价报告</w:t>
      </w:r>
    </w:p>
    <w:p w14:paraId="2A650770">
      <w:pPr>
        <w:spacing w:line="240" w:lineRule="atLeast"/>
        <w:ind w:firstLine="0" w:firstLineChars="0"/>
        <w:jc w:val="center"/>
        <w:rPr>
          <w:rFonts w:ascii="宋体" w:hAnsi="宋体" w:eastAsia="宋体" w:cs="Arial"/>
          <w:b/>
          <w:bCs/>
          <w:sz w:val="36"/>
          <w:szCs w:val="36"/>
        </w:rPr>
      </w:pPr>
    </w:p>
    <w:p w14:paraId="2393C69F">
      <w:pPr>
        <w:spacing w:line="240" w:lineRule="atLeast"/>
        <w:ind w:firstLine="0" w:firstLineChars="0"/>
        <w:jc w:val="center"/>
        <w:rPr>
          <w:rFonts w:ascii="宋体" w:hAnsi="宋体" w:eastAsia="宋体" w:cs="Arial"/>
          <w:b/>
          <w:bCs/>
          <w:sz w:val="36"/>
          <w:szCs w:val="36"/>
        </w:rPr>
      </w:pPr>
    </w:p>
    <w:p w14:paraId="69F54257">
      <w:pPr>
        <w:spacing w:line="240" w:lineRule="atLeast"/>
        <w:ind w:firstLine="0" w:firstLineChars="0"/>
        <w:jc w:val="center"/>
        <w:rPr>
          <w:rFonts w:ascii="宋体" w:hAnsi="宋体" w:eastAsia="宋体" w:cs="Arial"/>
          <w:b/>
          <w:bCs/>
          <w:sz w:val="36"/>
          <w:szCs w:val="36"/>
        </w:rPr>
      </w:pPr>
    </w:p>
    <w:p w14:paraId="070FBCBA">
      <w:pPr>
        <w:spacing w:line="240" w:lineRule="atLeast"/>
        <w:ind w:firstLine="0" w:firstLineChars="0"/>
        <w:jc w:val="center"/>
        <w:rPr>
          <w:rFonts w:ascii="宋体" w:hAnsi="宋体" w:eastAsia="宋体" w:cs="Arial"/>
          <w:b/>
          <w:bCs/>
          <w:sz w:val="36"/>
          <w:szCs w:val="36"/>
        </w:rPr>
      </w:pPr>
    </w:p>
    <w:p w14:paraId="68D6116C">
      <w:pPr>
        <w:spacing w:line="240" w:lineRule="atLeast"/>
        <w:ind w:firstLine="0" w:firstLineChars="0"/>
        <w:jc w:val="center"/>
        <w:rPr>
          <w:rFonts w:ascii="宋体" w:hAnsi="宋体" w:eastAsia="宋体" w:cs="Arial"/>
          <w:b/>
          <w:bCs/>
          <w:sz w:val="36"/>
          <w:szCs w:val="36"/>
        </w:rPr>
      </w:pPr>
    </w:p>
    <w:p w14:paraId="7EBC2CBC">
      <w:pPr>
        <w:spacing w:line="240" w:lineRule="atLeast"/>
        <w:ind w:firstLine="0" w:firstLineChars="0"/>
        <w:jc w:val="center"/>
        <w:rPr>
          <w:rFonts w:ascii="宋体" w:hAnsi="宋体" w:eastAsia="宋体" w:cs="Arial"/>
          <w:b/>
          <w:bCs/>
          <w:sz w:val="36"/>
          <w:szCs w:val="36"/>
        </w:rPr>
      </w:pPr>
    </w:p>
    <w:p w14:paraId="50469F36">
      <w:pPr>
        <w:ind w:firstLine="0" w:firstLineChars="0"/>
      </w:pPr>
    </w:p>
    <w:p w14:paraId="5F2E6326">
      <w:pPr>
        <w:pStyle w:val="2"/>
        <w:ind w:firstLine="562"/>
        <w:jc w:val="center"/>
      </w:pPr>
    </w:p>
    <w:p w14:paraId="66768277">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项目名称：洛浦县2022年项目管理费项目</w:t>
      </w:r>
    </w:p>
    <w:p w14:paraId="76509D6B">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实施单位：洛浦县乡村振兴局</w:t>
      </w:r>
    </w:p>
    <w:p w14:paraId="6ABD5CE9">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主管部门：洛浦县乡村振兴局</w:t>
      </w:r>
    </w:p>
    <w:p w14:paraId="7ED40A00">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项目负责人：马国强</w:t>
      </w:r>
    </w:p>
    <w:p w14:paraId="34B60E2B">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填报时间：2023年2月20日</w:t>
      </w:r>
    </w:p>
    <w:p w14:paraId="6B6E1C08">
      <w:pPr>
        <w:ind w:firstLine="0" w:firstLineChars="0"/>
        <w:jc w:val="center"/>
        <w:rPr>
          <w:b/>
          <w:bCs/>
          <w:sz w:val="32"/>
          <w:szCs w:val="28"/>
        </w:rPr>
      </w:pPr>
    </w:p>
    <w:p w14:paraId="39F782F6">
      <w:pPr>
        <w:ind w:firstLine="0" w:firstLineChars="0"/>
        <w:jc w:val="center"/>
        <w:rPr>
          <w:b/>
          <w:bCs/>
          <w:sz w:val="36"/>
          <w:szCs w:val="32"/>
        </w:rPr>
      </w:pPr>
      <w:r>
        <w:rPr>
          <w:rFonts w:hint="eastAsia"/>
          <w:b/>
          <w:bCs/>
          <w:sz w:val="40"/>
          <w:szCs w:val="36"/>
        </w:rPr>
        <w:t>洛浦县2022年项目管理费项目支出绩效评价报告</w:t>
      </w:r>
    </w:p>
    <w:p w14:paraId="05522EC9">
      <w:pPr>
        <w:pStyle w:val="3"/>
        <w:ind w:firstLine="643"/>
      </w:pPr>
      <w:r>
        <w:rPr>
          <w:rFonts w:hint="eastAsia"/>
        </w:rPr>
        <w:t>一、基本情况</w:t>
      </w:r>
    </w:p>
    <w:p w14:paraId="74765557">
      <w:pPr>
        <w:pStyle w:val="4"/>
        <w:ind w:firstLine="643"/>
      </w:pPr>
      <w:r>
        <w:rPr>
          <w:rFonts w:hint="eastAsia"/>
        </w:rPr>
        <w:t>（一）项目概况</w:t>
      </w:r>
    </w:p>
    <w:p w14:paraId="7F98DAB2">
      <w:pPr>
        <w:pStyle w:val="2"/>
        <w:ind w:firstLine="562"/>
      </w:pPr>
      <w:r>
        <w:rPr>
          <w:rFonts w:hint="eastAsia"/>
        </w:rPr>
        <w:t>1.项目背景</w:t>
      </w:r>
    </w:p>
    <w:p w14:paraId="281D5316">
      <w:pPr>
        <w:spacing w:line="360" w:lineRule="auto"/>
        <w:ind w:firstLine="560"/>
        <w:rPr>
          <w:rFonts w:ascii="Times New Roman" w:hAnsi="Times New Roman"/>
        </w:rPr>
      </w:pPr>
      <w:r>
        <w:rPr>
          <w:rFonts w:hint="eastAsia" w:ascii="Times New Roman" w:hAnsi="Times New Roman"/>
        </w:rPr>
        <w:t>2022年是巩固扩展脱贫攻坚成果同乡村振兴紧密衔接等关键之年，为深入贯彻落实习近平总书记关于</w:t>
      </w:r>
      <w:bookmarkStart w:id="14" w:name="_GoBack"/>
      <w:r>
        <w:rPr>
          <w:rFonts w:hint="eastAsia" w:ascii="Times New Roman" w:hAnsi="Times New Roman"/>
        </w:rPr>
        <w:t>巩固拓展脱贫</w:t>
      </w:r>
      <w:bookmarkEnd w:id="14"/>
      <w:r>
        <w:rPr>
          <w:rFonts w:hint="eastAsia" w:ascii="Times New Roman" w:hAnsi="Times New Roman"/>
        </w:rPr>
        <w:t>攻坚成果同乡村振兴有效衔接的重要指示和党中央决策部署，按照自治区巩固拓展脱贫攻坚成果同乡村振兴有效衔接工作会议安排部署，根据《和田地区2021年深入推进巩固拓展脱贫攻坚成果同乡村振兴有效衔接实施方案》（和党发〔2021〕3号），扎实做好认识上衔接、观念上衔接、规划上衔接、措施上衔接、政策上衔接、产业上衔接、机制上衔接、体制上衔接，促进政策举措和工作体系平稳过渡，确保不出现规模性返贫、实现同乡村振兴有效衔接。以习近平同志为核心的党中央高度重视做好巩固拓展脱贫攻坚成果同乡村振兴有效衔接工作，总书记在十九届五中全会上强调：“实施乡村建设行动，实现巩固拓展脱贫攻坚成果同乡村振兴有效衔接。”</w:t>
      </w:r>
    </w:p>
    <w:p w14:paraId="7A5BEE62">
      <w:pPr>
        <w:spacing w:line="360" w:lineRule="auto"/>
        <w:ind w:firstLine="560"/>
        <w:rPr>
          <w:rFonts w:ascii="Times New Roman" w:hAnsi="Times New Roman"/>
        </w:rPr>
      </w:pPr>
      <w:r>
        <w:rPr>
          <w:rFonts w:hint="eastAsia" w:ascii="Times New Roman" w:hAnsi="Times New Roman"/>
        </w:rPr>
        <w:t>在第三次中央新疆工作座谈会上强调：“要健全完善防止返贫监测和帮扶机制，接续推进全面脱贫与乡村振兴有机衔接，着重增强内生发展动力和发展活力，确保脱贫后能发展、可持续。”在中央经济工作座谈会上指出：“要巩固拓展脱贫攻坚成果，坚决防止发生规模性返贫现象。”在中央农村工作会议上指出：“民族要复兴、乡村必振兴。要坚决守住脱贫攻坚成果，做好巩固拓展脱贫攻坚成果同乡村振兴有效衔接，工作不留空档，政策不留空白。”从政治高度充分认识实现巩固拓展脱贫攻坚成果同乡村振兴有效衔接的重大现实意义和深远历史意义，增强“四个意识”、坚定“四个自信”、做到“两个维护”，牢牢扭住社会稳定和长治久安总目标，坚决守住脱贫攻坚成果。</w:t>
      </w:r>
    </w:p>
    <w:p w14:paraId="0941AC03">
      <w:pPr>
        <w:spacing w:line="360" w:lineRule="auto"/>
        <w:ind w:firstLine="560"/>
      </w:pPr>
      <w:r>
        <w:rPr>
          <w:rFonts w:hint="eastAsia" w:ascii="Times New Roman" w:hAnsi="Times New Roman"/>
        </w:rPr>
        <w:t>党的十八大以来，县委、政府牢记初心、践行使命，把脱贫攻坚作为重大政治任务，采取超常规举措推动脱贫攻坚取得决定性成就。全县实现整体脱贫摘帽，摆脱了困扰洛浦千百年来的绝对贫困，做到了全面小康路上一个都不掉队，为实现共同富裕奠定了坚实的基础。脱贫摘帽不是终点，而是新生活、新奋斗的起点。必须坚持以人民为中心的发展理念，着眼脱贫攻坚与乡村振兴交汇期与衔接期，牢记初心和使命，以永不懈怠的精神状态和一往无前的奋斗姿态，义无反顾地担负起巩固拓展脱贫攻坚成果、实施乡村振兴的历史重任。</w:t>
      </w:r>
    </w:p>
    <w:p w14:paraId="1EA7D2EB">
      <w:pPr>
        <w:pStyle w:val="2"/>
        <w:ind w:firstLine="562"/>
      </w:pPr>
      <w:r>
        <w:rPr>
          <w:rFonts w:hint="eastAsia"/>
        </w:rPr>
        <w:t>2.主要内容</w:t>
      </w:r>
    </w:p>
    <w:p w14:paraId="4CAF7A82">
      <w:pPr>
        <w:spacing w:line="360" w:lineRule="auto"/>
        <w:ind w:firstLine="560"/>
        <w:rPr>
          <w:rFonts w:ascii="Times New Roman" w:hAnsi="Times New Roman"/>
        </w:rPr>
      </w:pPr>
      <w:r>
        <w:rPr>
          <w:rFonts w:hint="eastAsia" w:ascii="Times New Roman" w:hAnsi="Times New Roman"/>
        </w:rPr>
        <w:t>该项目资金主要实现示范村乡村振兴的目标，资金用于购买项目设计服务，将于2022年12月完成项目。通过本项目的实施，有效提升公共服务水平，持续保障县级配套衔接资金项目顺利运行，提升资源规划和协调能力,以确保有效分配和协调资源，使受益乡镇满意度达到95%以上。</w:t>
      </w:r>
    </w:p>
    <w:p w14:paraId="45E4969C">
      <w:pPr>
        <w:pStyle w:val="2"/>
        <w:ind w:firstLine="562"/>
        <w:jc w:val="left"/>
      </w:pPr>
      <w:r>
        <w:rPr>
          <w:rFonts w:hint="eastAsia"/>
        </w:rPr>
        <w:t>3.实施情况</w:t>
      </w:r>
    </w:p>
    <w:p w14:paraId="24864D6B">
      <w:pPr>
        <w:ind w:firstLine="560"/>
        <w:jc w:val="left"/>
      </w:pPr>
      <w:r>
        <w:t>实施主体：</w:t>
      </w:r>
      <w:r>
        <w:rPr>
          <w:rFonts w:hint="eastAsia"/>
        </w:rPr>
        <w:t>洛浦县乡村振兴局</w:t>
      </w:r>
      <w:r>
        <w:t>。</w:t>
      </w:r>
    </w:p>
    <w:p w14:paraId="3E97C98A">
      <w:pPr>
        <w:ind w:firstLine="560"/>
      </w:pPr>
      <w:r>
        <w:t>实施时间：</w:t>
      </w:r>
      <w:r>
        <w:rPr>
          <w:rFonts w:hint="eastAsia"/>
        </w:rPr>
        <w:t>本项目实施期限为2022年1月—2022年12月</w:t>
      </w:r>
      <w:r>
        <w:t>。</w:t>
      </w:r>
    </w:p>
    <w:p w14:paraId="4F95F4D7">
      <w:pPr>
        <w:ind w:firstLine="560"/>
      </w:pPr>
      <w:r>
        <w:t>实施</w:t>
      </w:r>
      <w:r>
        <w:rPr>
          <w:rFonts w:hint="eastAsia"/>
        </w:rPr>
        <w:t>情况</w:t>
      </w:r>
      <w:r>
        <w:t>：</w:t>
      </w:r>
      <w:r>
        <w:rPr>
          <w:rFonts w:hint="eastAsia"/>
        </w:rPr>
        <w:t>项目准备阶段，根据各村（社区）不同资源情况，因地制宜谋划乡村项目，按照村申报、镇审核、县审批的程序开展，同时每一步流程都进行相应的公告公示，确保项目规划合理有效，群众知晓满意。对于项目库中筛选条件成熟的项目，重点加强对项目立项、论证、审批、入库等环节的管理，做到前置审核、提前论证，然后再向上申报。对于已批复的项目，重点加强对项目实施、竣工验收、跟踪监控等环节的监管，项目管理工作在阳光下运行，确保项目公正、公平、公开，同时让公众参与进项目实施监管工作中来，利用社会的力量降低廉政风险。项目实施过程中，完善镇、村项目资产台账，确保五类台账登记齐全、参数齐全、与实际相符。重点关注“全面摸清底数、推进确权登记、加强后续管护、强化资产运营、规范收益分配、严格资产处置、完善保障措施”七个方面，不断提升扶贫项目资产后续管理科学化、规范化、精细化水平。把扶贫项目资产管理与产业扶贫、消费扶贫、脱贫长效机制等有机结合，形成长效运营管理机制，在巩固拓展脱贫</w:t>
      </w:r>
      <w:r>
        <w:rPr>
          <w:rFonts w:hint="eastAsia"/>
          <w:lang w:val="en-US" w:eastAsia="zh-CN"/>
        </w:rPr>
        <w:t>攻坚</w:t>
      </w:r>
      <w:r>
        <w:rPr>
          <w:rFonts w:hint="eastAsia"/>
        </w:rPr>
        <w:t>成果、全面推进乡村振兴中持续发挥作用。本项目保障乡村振兴示范村数量12个，资金使用合规率100%，第三方服务合格率≥95%,项目开始时间2022年1月,项目完成时间2022年12月,资金支付及时率100%，项目管理相关费用≤133万元,通过实施本项目公共服务水平显著提升,科学计划促进社会发展,持续保障县级配套衔接资金管理工作。本级财政预算安排资金，用于本县巩固拓展脱贫攻坚成果同乡村振兴衔接事业相关支出，包括且不限于项目前期设计、评审、招标、监理、验收、聘请服务项目的第三方服务公司等与项目管理相关的支出，估算资金133万元。项目实施后，达成了显著的效果。推进部署整改工作，进一步对项目档案、项目建设、项目运营、项目资金管理等工作进行全面提升，确保衔接资金项目管理工作全面提升和问题动态清零。进一步加强项目管理，强化乡村振兴。</w:t>
      </w:r>
    </w:p>
    <w:p w14:paraId="6964A9DC">
      <w:pPr>
        <w:pStyle w:val="2"/>
        <w:keepNext w:val="0"/>
        <w:keepLines w:val="0"/>
        <w:ind w:firstLine="562"/>
      </w:pPr>
      <w:r>
        <w:rPr>
          <w:rFonts w:hint="eastAsia"/>
        </w:rPr>
        <w:t>4.资金投入和使用情况</w:t>
      </w:r>
    </w:p>
    <w:p w14:paraId="02001C78">
      <w:pPr>
        <w:ind w:firstLine="560"/>
      </w:pPr>
      <w:r>
        <w:rPr>
          <w:rFonts w:hint="eastAsia"/>
        </w:rPr>
        <w:t>（1）项目资金安排落实、总投入等情况分析</w:t>
      </w:r>
    </w:p>
    <w:p w14:paraId="11B827C2">
      <w:pPr>
        <w:ind w:firstLine="560"/>
      </w:pPr>
      <w:r>
        <w:rPr>
          <w:rFonts w:hint="eastAsia"/>
        </w:rPr>
        <w:t>本</w:t>
      </w:r>
      <w:r>
        <w:t>项目预算安排总额为</w:t>
      </w:r>
      <w:r>
        <w:rPr>
          <w:rFonts w:hint="eastAsia"/>
        </w:rPr>
        <w:t>133</w:t>
      </w:r>
      <w:r>
        <w:t>万元，</w:t>
      </w:r>
      <w:r>
        <w:rPr>
          <w:rFonts w:hint="eastAsia"/>
        </w:rPr>
        <w:t>资金来源为本级部门预算，</w:t>
      </w:r>
      <w:r>
        <w:t>其中</w:t>
      </w:r>
      <w:r>
        <w:rPr>
          <w:rFonts w:hint="eastAsia"/>
        </w:rPr>
        <w:t>：</w:t>
      </w:r>
      <w:r>
        <w:t>财政资金</w:t>
      </w:r>
      <w:r>
        <w:rPr>
          <w:rFonts w:hint="eastAsia"/>
        </w:rPr>
        <w:t>133</w:t>
      </w:r>
      <w:r>
        <w:t>万元，其他资金</w:t>
      </w:r>
      <w:r>
        <w:rPr>
          <w:rFonts w:hint="eastAsia"/>
        </w:rPr>
        <w:t>0.00</w:t>
      </w:r>
      <w:r>
        <w:t>万元，</w:t>
      </w:r>
      <w:r>
        <w:rPr>
          <w:rFonts w:hint="eastAsia"/>
        </w:rPr>
        <w:t>2022年</w:t>
      </w:r>
      <w:r>
        <w:t>实际收到预算资金</w:t>
      </w:r>
      <w:r>
        <w:rPr>
          <w:rFonts w:hint="eastAsia"/>
        </w:rPr>
        <w:t>133</w:t>
      </w:r>
      <w:r>
        <w:t>万元，预算资金到位率为</w:t>
      </w:r>
      <w:r>
        <w:rPr>
          <w:rFonts w:hint="eastAsia"/>
        </w:rPr>
        <w:t>100.00</w:t>
      </w:r>
      <w:r>
        <w:t>%。</w:t>
      </w:r>
    </w:p>
    <w:p w14:paraId="71C2AE12">
      <w:pPr>
        <w:ind w:firstLine="560"/>
      </w:pPr>
      <w:r>
        <w:rPr>
          <w:rFonts w:hint="eastAsia"/>
        </w:rPr>
        <w:t>（2）项目资金实际使用情况分析</w:t>
      </w:r>
    </w:p>
    <w:p w14:paraId="02781C7D">
      <w:pPr>
        <w:ind w:firstLine="560"/>
      </w:pPr>
      <w:r>
        <w:rPr>
          <w:rFonts w:hint="eastAsia"/>
        </w:rPr>
        <w:t>本项目实际支付资金133万元，预算执行率100%。本项目资金主要用于支付本县巩固拓展脱贫攻坚成果同乡村振兴衔接事业相关支出、项目前期设计、评审、招标、监理、验收、聘请服务项目的第三方服务公司等与项目管理相关的支出。</w:t>
      </w:r>
    </w:p>
    <w:p w14:paraId="1350A0E0">
      <w:pPr>
        <w:pStyle w:val="4"/>
        <w:keepNext w:val="0"/>
        <w:keepLines w:val="0"/>
        <w:numPr>
          <w:ilvl w:val="0"/>
          <w:numId w:val="2"/>
        </w:numPr>
        <w:ind w:firstLine="643"/>
      </w:pPr>
      <w:r>
        <w:rPr>
          <w:rFonts w:hint="eastAsia"/>
        </w:rPr>
        <w:t>项目绩效目标</w:t>
      </w:r>
    </w:p>
    <w:p w14:paraId="5F6D7134">
      <w:pPr>
        <w:pStyle w:val="2"/>
        <w:keepNext w:val="0"/>
        <w:keepLines w:val="0"/>
        <w:ind w:firstLine="562"/>
      </w:pPr>
      <w:r>
        <w:rPr>
          <w:rFonts w:hint="eastAsia"/>
        </w:rPr>
        <w:t>1.总体目标</w:t>
      </w:r>
    </w:p>
    <w:p w14:paraId="2148A41D">
      <w:pPr>
        <w:pStyle w:val="2"/>
        <w:keepNext w:val="0"/>
        <w:keepLines w:val="0"/>
        <w:ind w:firstLine="560"/>
        <w:rPr>
          <w:b w:val="0"/>
          <w:bCs w:val="0"/>
          <w:kern w:val="2"/>
          <w:szCs w:val="24"/>
        </w:rPr>
      </w:pPr>
      <w:r>
        <w:rPr>
          <w:rFonts w:hint="eastAsia"/>
          <w:b w:val="0"/>
          <w:bCs w:val="0"/>
          <w:kern w:val="2"/>
          <w:szCs w:val="24"/>
        </w:rPr>
        <w:t>本项目主要实施内容为：保障乡村振兴示范村数量12个，资金使用合规率100%，第三方服务合格率≥95%,项目开始时间2022年1月,项目完成时间2022年12月,资金支付及时率100%，项目管理相关费用≤133万元,通过实施本项目公共服务水平显著提升,科学计划促进社会发展,持续保障县级配套衔接资金管理工作。本级财政预算安排资金，用于本县巩固拓展脱贫攻坚成果同乡村振兴衔接事业相关支出，包括且不限于项目前期设计、评审、招标、监理、验收、聘请服务项目的第三方服务公司等与项目管理相关的支出，估算资金133万元。</w:t>
      </w:r>
    </w:p>
    <w:p w14:paraId="53039440">
      <w:pPr>
        <w:pStyle w:val="2"/>
        <w:ind w:firstLine="562"/>
      </w:pPr>
      <w:r>
        <w:rPr>
          <w:rFonts w:hint="eastAsia"/>
        </w:rPr>
        <w:t>2.阶段性目标</w:t>
      </w:r>
    </w:p>
    <w:p w14:paraId="6093A430">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14:paraId="1D9CAE69">
      <w:pPr>
        <w:ind w:firstLine="560"/>
      </w:pPr>
      <w:r>
        <w:rPr>
          <w:rFonts w:hint="eastAsia"/>
        </w:rPr>
        <w:t>（1）项目产出指标</w:t>
      </w:r>
    </w:p>
    <w:p w14:paraId="354703FD">
      <w:pPr>
        <w:ind w:firstLine="560"/>
      </w:pPr>
      <w:r>
        <w:rPr>
          <w:rFonts w:hint="eastAsia"/>
        </w:rPr>
        <w:t>①数量指标</w:t>
      </w:r>
    </w:p>
    <w:p w14:paraId="0BFD83A8">
      <w:pPr>
        <w:ind w:firstLine="560"/>
      </w:pPr>
      <w:r>
        <w:rPr>
          <w:rFonts w:hint="eastAsia"/>
        </w:rPr>
        <w:t>“保障乡村振兴示范村数量”指标，预期指标值为≥12个；</w:t>
      </w:r>
    </w:p>
    <w:p w14:paraId="5C7DF6AC">
      <w:pPr>
        <w:pStyle w:val="2"/>
        <w:ind w:firstLine="560"/>
        <w:rPr>
          <w:b w:val="0"/>
          <w:bCs w:val="0"/>
          <w:kern w:val="2"/>
          <w:szCs w:val="24"/>
        </w:rPr>
      </w:pPr>
      <w:r>
        <w:rPr>
          <w:rFonts w:hint="eastAsia"/>
          <w:b w:val="0"/>
          <w:bCs w:val="0"/>
          <w:kern w:val="2"/>
          <w:szCs w:val="24"/>
        </w:rPr>
        <w:t>“购买项目设计服务次数”指标，预期指标值为≥1次。</w:t>
      </w:r>
    </w:p>
    <w:p w14:paraId="701143AB">
      <w:pPr>
        <w:ind w:firstLine="560"/>
      </w:pPr>
      <w:r>
        <w:rPr>
          <w:rFonts w:hint="eastAsia"/>
        </w:rPr>
        <w:t>②质量指标</w:t>
      </w:r>
    </w:p>
    <w:p w14:paraId="1957BBBC">
      <w:pPr>
        <w:ind w:firstLine="560"/>
      </w:pPr>
      <w:r>
        <w:rPr>
          <w:rFonts w:hint="eastAsia"/>
        </w:rPr>
        <w:t>“资金使用合规率”指标，预期指标值为=100%；</w:t>
      </w:r>
    </w:p>
    <w:p w14:paraId="660E0518">
      <w:pPr>
        <w:ind w:firstLine="560"/>
      </w:pPr>
      <w:r>
        <w:rPr>
          <w:rFonts w:hint="eastAsia"/>
        </w:rPr>
        <w:t>“第三方服务合格率”指标，预期指标值为≥95%。</w:t>
      </w:r>
    </w:p>
    <w:p w14:paraId="60DCDDFB">
      <w:pPr>
        <w:ind w:firstLine="560"/>
      </w:pPr>
      <w:r>
        <w:rPr>
          <w:rFonts w:hint="eastAsia"/>
        </w:rPr>
        <w:t>③时效指标</w:t>
      </w:r>
    </w:p>
    <w:p w14:paraId="081DA8E7">
      <w:pPr>
        <w:ind w:firstLine="560"/>
      </w:pPr>
      <w:r>
        <w:rPr>
          <w:rFonts w:hint="eastAsia"/>
        </w:rPr>
        <w:t>“项目完成时间”指标，预期指标值为2022年12月；</w:t>
      </w:r>
    </w:p>
    <w:p w14:paraId="69607E7D">
      <w:pPr>
        <w:ind w:firstLine="560"/>
      </w:pPr>
      <w:r>
        <w:rPr>
          <w:rFonts w:hint="eastAsia"/>
        </w:rPr>
        <w:t>“资金支付及时率”指标，预期指标值为=100%。</w:t>
      </w:r>
    </w:p>
    <w:p w14:paraId="47B1C090">
      <w:pPr>
        <w:ind w:firstLine="560"/>
      </w:pPr>
      <w:r>
        <w:rPr>
          <w:rFonts w:hint="eastAsia"/>
        </w:rPr>
        <w:t>④成本指标</w:t>
      </w:r>
    </w:p>
    <w:p w14:paraId="7BF2EC68">
      <w:pPr>
        <w:ind w:firstLine="560"/>
      </w:pPr>
      <w:r>
        <w:rPr>
          <w:rFonts w:hint="eastAsia"/>
        </w:rPr>
        <w:t>“项目管理相关费用”指标，预期指标值为≤133万元。</w:t>
      </w:r>
    </w:p>
    <w:p w14:paraId="6848D80C">
      <w:pPr>
        <w:ind w:firstLine="560"/>
      </w:pPr>
      <w:r>
        <w:rPr>
          <w:rFonts w:hint="eastAsia"/>
        </w:rPr>
        <w:t>（2）项目效益指标</w:t>
      </w:r>
    </w:p>
    <w:p w14:paraId="226475CA">
      <w:pPr>
        <w:ind w:firstLine="560"/>
      </w:pPr>
      <w:r>
        <w:rPr>
          <w:rFonts w:hint="eastAsia"/>
        </w:rPr>
        <w:t>①经济效益指标</w:t>
      </w:r>
    </w:p>
    <w:p w14:paraId="483492F7">
      <w:pPr>
        <w:ind w:firstLine="560"/>
      </w:pPr>
      <w:r>
        <w:rPr>
          <w:rFonts w:hint="eastAsia"/>
        </w:rPr>
        <w:t>“无此类指标”。</w:t>
      </w:r>
    </w:p>
    <w:p w14:paraId="2E0BC3DE">
      <w:pPr>
        <w:ind w:firstLine="560"/>
      </w:pPr>
      <w:r>
        <w:rPr>
          <w:rFonts w:hint="eastAsia"/>
        </w:rPr>
        <w:t>②社会效益指标</w:t>
      </w:r>
    </w:p>
    <w:p w14:paraId="1CAAAF3D">
      <w:pPr>
        <w:ind w:firstLine="560"/>
      </w:pPr>
      <w:r>
        <w:rPr>
          <w:rFonts w:hint="eastAsia"/>
        </w:rPr>
        <w:t>“提升公共服务水平”指标，预期指标值为显著提升。</w:t>
      </w:r>
    </w:p>
    <w:p w14:paraId="4AEA2622">
      <w:pPr>
        <w:ind w:firstLine="560"/>
      </w:pPr>
      <w:r>
        <w:rPr>
          <w:rFonts w:hint="eastAsia"/>
        </w:rPr>
        <w:t>③生态效益指标</w:t>
      </w:r>
    </w:p>
    <w:p w14:paraId="5C7379D7">
      <w:pPr>
        <w:ind w:firstLine="560"/>
      </w:pPr>
      <w:r>
        <w:rPr>
          <w:rFonts w:hint="eastAsia"/>
        </w:rPr>
        <w:t>“无此类指标”。</w:t>
      </w:r>
    </w:p>
    <w:p w14:paraId="4C9B1069">
      <w:pPr>
        <w:ind w:firstLine="560"/>
      </w:pPr>
      <w:r>
        <w:rPr>
          <w:rFonts w:hint="eastAsia"/>
        </w:rPr>
        <w:t>④可持续影响</w:t>
      </w:r>
    </w:p>
    <w:p w14:paraId="77BAFAD9">
      <w:pPr>
        <w:ind w:firstLine="560"/>
      </w:pPr>
      <w:r>
        <w:rPr>
          <w:rFonts w:hint="eastAsia"/>
        </w:rPr>
        <w:t>“保障县级配套衔接资金管理工作”指标，预期指标值为持续保障。</w:t>
      </w:r>
    </w:p>
    <w:p w14:paraId="571E9BCC">
      <w:pPr>
        <w:ind w:firstLine="560"/>
      </w:pPr>
      <w:r>
        <w:rPr>
          <w:rFonts w:hint="eastAsia"/>
        </w:rPr>
        <w:t>⑤满意度指标</w:t>
      </w:r>
    </w:p>
    <w:p w14:paraId="1526515B">
      <w:pPr>
        <w:ind w:firstLine="560"/>
      </w:pPr>
      <w:r>
        <w:rPr>
          <w:rFonts w:hint="eastAsia"/>
        </w:rPr>
        <w:t>“受益乡镇满意度”指标，预期指标值为≥95%；</w:t>
      </w:r>
    </w:p>
    <w:p w14:paraId="50736516">
      <w:pPr>
        <w:ind w:firstLine="560"/>
      </w:pPr>
      <w:r>
        <w:rPr>
          <w:rFonts w:hint="eastAsia"/>
        </w:rPr>
        <w:t>“受益群众满意度”指标，预期指标值为≥95%。</w:t>
      </w:r>
    </w:p>
    <w:p w14:paraId="22077B65">
      <w:pPr>
        <w:pStyle w:val="3"/>
        <w:ind w:firstLine="643"/>
      </w:pPr>
      <w:r>
        <w:rPr>
          <w:rFonts w:hint="eastAsia"/>
        </w:rPr>
        <w:t>二、绩效评价工作开展情况</w:t>
      </w:r>
    </w:p>
    <w:p w14:paraId="234FEA92">
      <w:pPr>
        <w:pStyle w:val="4"/>
        <w:ind w:firstLine="643"/>
      </w:pPr>
      <w:bookmarkStart w:id="0" w:name="_Toc12868"/>
      <w:bookmarkStart w:id="1" w:name="_Toc22922"/>
      <w:bookmarkStart w:id="2" w:name="_Toc21664"/>
      <w:bookmarkStart w:id="3" w:name="_Toc22169_WPSOffice_Level2"/>
      <w:bookmarkStart w:id="4" w:name="_Toc480473081"/>
      <w:bookmarkStart w:id="5" w:name="_Toc26632"/>
      <w:bookmarkStart w:id="6" w:name="_Toc5462343"/>
      <w:bookmarkStart w:id="7" w:name="_Toc5258"/>
      <w:r>
        <w:rPr>
          <w:rFonts w:hint="eastAsia"/>
        </w:rPr>
        <w:t>（一）绩效评价的目的</w:t>
      </w:r>
      <w:bookmarkEnd w:id="0"/>
      <w:bookmarkEnd w:id="1"/>
      <w:bookmarkEnd w:id="2"/>
      <w:bookmarkEnd w:id="3"/>
      <w:bookmarkEnd w:id="4"/>
      <w:bookmarkEnd w:id="5"/>
      <w:bookmarkEnd w:id="6"/>
      <w:bookmarkEnd w:id="7"/>
      <w:r>
        <w:rPr>
          <w:rFonts w:hint="eastAsia"/>
        </w:rPr>
        <w:t>、对象和范围</w:t>
      </w:r>
    </w:p>
    <w:p w14:paraId="486FE87F">
      <w:pPr>
        <w:pStyle w:val="2"/>
        <w:ind w:firstLine="562"/>
      </w:pPr>
      <w:r>
        <w:rPr>
          <w:rFonts w:hint="eastAsia"/>
        </w:rPr>
        <w:t>1.</w:t>
      </w:r>
      <w:r>
        <w:rPr>
          <w:rFonts w:hint="eastAsia" w:ascii="楷体" w:hAnsi="楷体" w:eastAsia="楷体" w:cs="楷体"/>
          <w:sz w:val="32"/>
        </w:rPr>
        <w:t>绩效评价的目的</w:t>
      </w:r>
    </w:p>
    <w:p w14:paraId="041642D8">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2022年项目管理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00E2E95B">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1E654B6">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3BB52A3">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45DA8F7">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60974347">
      <w:pPr>
        <w:pStyle w:val="2"/>
        <w:ind w:firstLine="562"/>
      </w:pPr>
      <w:r>
        <w:rPr>
          <w:rFonts w:hint="eastAsia"/>
        </w:rPr>
        <w:t>2.绩效评价对象</w:t>
      </w:r>
    </w:p>
    <w:p w14:paraId="0B81B948">
      <w:pPr>
        <w:ind w:firstLine="560"/>
      </w:pPr>
      <w:r>
        <w:rPr>
          <w:rFonts w:hint="eastAsia"/>
        </w:rPr>
        <w:t>此次我单位根据《财政支出绩效评价管理暂行办法》（财预〔2020〕10号）文件要求实施评价工作，本次评价对象为洛浦县2022年项目管理费项目，评价核心为项目的资金投入、产出及效益。</w:t>
      </w:r>
    </w:p>
    <w:p w14:paraId="61C8EC02">
      <w:pPr>
        <w:pStyle w:val="2"/>
        <w:ind w:firstLine="562"/>
      </w:pPr>
      <w:r>
        <w:rPr>
          <w:rFonts w:hint="eastAsia"/>
        </w:rPr>
        <w:t>3.绩效评价范围</w:t>
      </w:r>
    </w:p>
    <w:p w14:paraId="3B7044A0">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14:paraId="7F749F91">
      <w:pPr>
        <w:pStyle w:val="4"/>
        <w:keepNext w:val="0"/>
        <w:keepLines w:val="0"/>
        <w:ind w:firstLine="643"/>
      </w:pPr>
      <w:r>
        <w:rPr>
          <w:rFonts w:hint="eastAsia"/>
        </w:rPr>
        <w:t>（二）绩效评价原则、评价指标体系</w:t>
      </w:r>
    </w:p>
    <w:p w14:paraId="2D025CFA">
      <w:pPr>
        <w:pStyle w:val="2"/>
        <w:keepNext w:val="0"/>
        <w:keepLines w:val="0"/>
        <w:ind w:firstLine="562"/>
      </w:pPr>
      <w:r>
        <w:rPr>
          <w:rFonts w:hint="eastAsia"/>
        </w:rPr>
        <w:t>1.绩效评价原则</w:t>
      </w:r>
    </w:p>
    <w:p w14:paraId="066D3292">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4A6E51D4">
      <w:pPr>
        <w:ind w:firstLine="560"/>
      </w:pPr>
      <w:bookmarkStart w:id="8" w:name="_Toc1913"/>
      <w:bookmarkStart w:id="9" w:name="_Toc428278230"/>
      <w:bookmarkStart w:id="10" w:name="_Toc419984722"/>
      <w:bookmarkStart w:id="11" w:name="_Toc26131"/>
      <w:r>
        <w:rPr>
          <w:rFonts w:hint="eastAsia"/>
        </w:rPr>
        <w:t>（1）科学公正。绩效评价应当运用科学合理的方法，按照规范的程序，对项目绩效进行客观、公正的反映。</w:t>
      </w:r>
    </w:p>
    <w:p w14:paraId="5983127E">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C9AEFB8">
      <w:pPr>
        <w:snapToGrid w:val="0"/>
        <w:ind w:firstLine="560"/>
      </w:pPr>
      <w:r>
        <w:rPr>
          <w:rFonts w:hint="eastAsia"/>
        </w:rPr>
        <w:t>（3）激励约束。绩效评价结果应与预算安排、政策调整、改进管理实质性挂钩，体现奖优罚劣和激励相容导向，有效要安排、低效要压减、无效要问责。</w:t>
      </w:r>
    </w:p>
    <w:p w14:paraId="51EB3E2C">
      <w:pPr>
        <w:snapToGrid w:val="0"/>
        <w:ind w:firstLine="560"/>
      </w:pPr>
      <w:r>
        <w:rPr>
          <w:rFonts w:hint="eastAsia"/>
        </w:rPr>
        <w:t>（4）公开透明。绩效评价结果应依法依规公开，并自觉接受社会监督。</w:t>
      </w:r>
    </w:p>
    <w:p w14:paraId="600CF5A1">
      <w:pPr>
        <w:snapToGrid w:val="0"/>
        <w:ind w:firstLine="560"/>
      </w:pPr>
      <w:r>
        <w:rPr>
          <w:rFonts w:hint="eastAsia"/>
        </w:rPr>
        <w:t>根据以上原则，绩效评价应遵循如下要求:</w:t>
      </w:r>
    </w:p>
    <w:p w14:paraId="384C240D">
      <w:pPr>
        <w:snapToGrid w:val="0"/>
        <w:ind w:firstLine="560"/>
      </w:pPr>
      <w:r>
        <w:rPr>
          <w:rFonts w:hint="eastAsia"/>
        </w:rPr>
        <w:t>（1）在数据采集时，采取客观数据，主管部门审查、社会中介组织复查，与问卷调查相结合的形式，以保证各项指标的真实性。</w:t>
      </w:r>
    </w:p>
    <w:p w14:paraId="44E9DFAD">
      <w:pPr>
        <w:snapToGrid w:val="0"/>
        <w:ind w:firstLine="560"/>
      </w:pPr>
      <w:r>
        <w:rPr>
          <w:rFonts w:hint="eastAsia"/>
        </w:rPr>
        <w:t>（2）保证评价结果的真实性、公正性，提高评价报告的公信力。</w:t>
      </w:r>
    </w:p>
    <w:p w14:paraId="702E6CFE">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513DDFAC">
      <w:pPr>
        <w:pStyle w:val="2"/>
        <w:ind w:firstLine="562"/>
      </w:pPr>
      <w:r>
        <w:rPr>
          <w:rFonts w:hint="eastAsia"/>
        </w:rPr>
        <w:t>2.绩效评价指标体系</w:t>
      </w:r>
      <w:bookmarkEnd w:id="8"/>
      <w:bookmarkEnd w:id="9"/>
      <w:bookmarkEnd w:id="10"/>
      <w:bookmarkEnd w:id="11"/>
    </w:p>
    <w:p w14:paraId="512FC737">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14:paraId="3EFBC5ED">
      <w:pPr>
        <w:pStyle w:val="2"/>
        <w:ind w:firstLine="562"/>
      </w:pPr>
      <w:r>
        <w:rPr>
          <w:rFonts w:hint="eastAsia"/>
        </w:rPr>
        <w:t>3.评价方法</w:t>
      </w:r>
    </w:p>
    <w:p w14:paraId="15514034">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5DD72A0">
      <w:pPr>
        <w:ind w:firstLine="560"/>
      </w:pPr>
      <w:r>
        <w:rPr>
          <w:rFonts w:hint="eastAsia"/>
        </w:rPr>
        <w:t>三级指标分析环节：总体采用比较法，同时辅以文献法、成本效益法、因素分析法以及公众评判法，根据不同三级指标类型进行逐项分析。</w:t>
      </w:r>
    </w:p>
    <w:p w14:paraId="4D014258">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AB5B2F3">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1A60108B">
      <w:pPr>
        <w:ind w:firstLine="560"/>
      </w:pPr>
      <w:r>
        <w:rPr>
          <w:rFonts w:hint="eastAsia"/>
        </w:rPr>
        <w:t>立项依据充分性：比较法、文献法，查找法律法规政策以及规划，对比实际执行内容和政策支持内容是否匹配。</w:t>
      </w:r>
    </w:p>
    <w:p w14:paraId="101466BE">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14:paraId="52AE34CB">
      <w:pPr>
        <w:pStyle w:val="6"/>
        <w:ind w:firstLine="560"/>
      </w:pPr>
      <w:r>
        <w:rPr>
          <w:rFonts w:hint="eastAsia"/>
        </w:rPr>
        <w:t>绩效目标合理性：比较法，对比分析年初编制项目支出绩效目标表与项目内容的相关性、资金的匹配性等。</w:t>
      </w:r>
    </w:p>
    <w:p w14:paraId="70990646">
      <w:pPr>
        <w:pStyle w:val="6"/>
        <w:ind w:firstLine="560"/>
      </w:pPr>
      <w:r>
        <w:rPr>
          <w:rFonts w:hint="eastAsia"/>
        </w:rPr>
        <w:t>绩效指标明确性：比较法，比较分析年初编制项目支出绩效目标表是否符合双七原则，是否可衡量。</w:t>
      </w:r>
    </w:p>
    <w:p w14:paraId="34C32100">
      <w:pPr>
        <w:pStyle w:val="6"/>
        <w:ind w:firstLine="560"/>
      </w:pPr>
      <w:r>
        <w:rPr>
          <w:rFonts w:hint="eastAsia"/>
        </w:rPr>
        <w:t>预算编制科学性：成本效益分析法</w:t>
      </w:r>
      <w:r>
        <w:rPr>
          <w:rFonts w:hint="eastAsia"/>
        </w:rPr>
        <w:tab/>
      </w:r>
      <w:r>
        <w:rPr>
          <w:rFonts w:hint="eastAsia"/>
        </w:rPr>
        <w:t>分析在产出一定的情况下，成本取值是否有依据，是否经过询价，是否按照市场最低成本编制。</w:t>
      </w:r>
    </w:p>
    <w:p w14:paraId="2AB216F2">
      <w:pPr>
        <w:pStyle w:val="6"/>
        <w:ind w:firstLine="560"/>
      </w:pPr>
      <w:r>
        <w:rPr>
          <w:rFonts w:hint="eastAsia"/>
        </w:rPr>
        <w:t>资金分配合理性：因素分析法，综合分析资金的分配依据是否充分，分配金额是否与项目实施单位需求金额一致，</w:t>
      </w:r>
    </w:p>
    <w:p w14:paraId="71C9E894">
      <w:pPr>
        <w:pStyle w:val="6"/>
        <w:ind w:firstLine="560"/>
      </w:pPr>
      <w:r>
        <w:rPr>
          <w:rFonts w:hint="eastAsia"/>
        </w:rPr>
        <w:t>资金到位率：比较法，资金到位率预期指标值应为100%，通过实际计算，分析实际完成值和预期指标值之间的差距和原因。</w:t>
      </w:r>
    </w:p>
    <w:p w14:paraId="76FA5A52">
      <w:pPr>
        <w:pStyle w:val="6"/>
        <w:ind w:firstLine="560"/>
      </w:pPr>
      <w:r>
        <w:rPr>
          <w:rFonts w:hint="eastAsia"/>
        </w:rPr>
        <w:t>预算执行率：比较法，预算执行率预期指标值应为100%，通过实际计算，分析实际完成值和预期指标值之间的差距和原因。</w:t>
      </w:r>
    </w:p>
    <w:p w14:paraId="0E16E613">
      <w:pPr>
        <w:pStyle w:val="6"/>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14:paraId="0151D659">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14:paraId="1370BB9C">
      <w:pPr>
        <w:pStyle w:val="6"/>
        <w:ind w:firstLine="560"/>
      </w:pPr>
      <w:r>
        <w:rPr>
          <w:rFonts w:hint="eastAsia"/>
        </w:rPr>
        <w:t>制度执行有效性：比较法，结合项目实际实施过程性文件，根据已建设的财务管理制度和项目管理制度综合分析制度执行的有效性。</w:t>
      </w:r>
    </w:p>
    <w:p w14:paraId="341CF555">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4E1DA6A">
      <w:pPr>
        <w:pStyle w:val="6"/>
        <w:ind w:firstLine="560"/>
      </w:pPr>
      <w:r>
        <w:rPr>
          <w:rFonts w:hint="eastAsia"/>
        </w:rPr>
        <w:t>定性指标：公众评判法，通过问卷及抽样调查等方式评价本项目实施后社会公众对于其实施效果的满意程度。</w:t>
      </w:r>
    </w:p>
    <w:p w14:paraId="7C5C1000">
      <w:pPr>
        <w:pStyle w:val="2"/>
        <w:ind w:firstLine="562"/>
      </w:pPr>
      <w:r>
        <w:rPr>
          <w:rFonts w:hint="eastAsia"/>
        </w:rPr>
        <w:t>4.评价标准</w:t>
      </w:r>
    </w:p>
    <w:p w14:paraId="0BD18802">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89CEF0D">
      <w:pPr>
        <w:pStyle w:val="4"/>
        <w:ind w:firstLine="643"/>
      </w:pPr>
      <w:r>
        <w:rPr>
          <w:rFonts w:hint="eastAsia"/>
        </w:rPr>
        <w:t>（三）绩效评价工作过程</w:t>
      </w:r>
    </w:p>
    <w:p w14:paraId="567E2701">
      <w:pPr>
        <w:pStyle w:val="2"/>
        <w:ind w:firstLine="562"/>
      </w:pPr>
      <w:r>
        <w:rPr>
          <w:rFonts w:hint="eastAsia"/>
        </w:rPr>
        <w:t>1.前期准备</w:t>
      </w:r>
    </w:p>
    <w:p w14:paraId="1C32595D">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120E1974">
      <w:pPr>
        <w:ind w:firstLine="560"/>
      </w:pPr>
      <w:r>
        <w:rPr>
          <w:rFonts w:hint="eastAsia"/>
        </w:rPr>
        <w:t>马国强（评价小组组长）：主要负责洛浦县2022年项目管理费项目全盘工作;</w:t>
      </w:r>
    </w:p>
    <w:p w14:paraId="7E465A0E">
      <w:pPr>
        <w:ind w:firstLine="560"/>
      </w:pPr>
      <w:r>
        <w:rPr>
          <w:rFonts w:hint="eastAsia"/>
        </w:rPr>
        <w:t>王萍（评价小组组员）：主要负责收集洛浦县2022年项目管理费项目相关资料工作;</w:t>
      </w:r>
    </w:p>
    <w:p w14:paraId="199B43AB">
      <w:pPr>
        <w:ind w:firstLine="560"/>
      </w:pPr>
      <w:r>
        <w:rPr>
          <w:rFonts w:hint="eastAsia"/>
        </w:rPr>
        <w:t>杨秋华（评价小组组员）：主要负责核实拨付洛浦县2022年项目管理费项目经费相关资料工作。</w:t>
      </w:r>
    </w:p>
    <w:p w14:paraId="343B649F">
      <w:pPr>
        <w:pStyle w:val="2"/>
        <w:ind w:firstLine="562"/>
      </w:pPr>
      <w:r>
        <w:rPr>
          <w:rFonts w:hint="eastAsia"/>
        </w:rPr>
        <w:t>2.组织实施</w:t>
      </w:r>
    </w:p>
    <w:p w14:paraId="4FAB8CF9">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04CA2D8">
      <w:pPr>
        <w:pStyle w:val="2"/>
        <w:ind w:firstLine="562"/>
      </w:pPr>
      <w:r>
        <w:rPr>
          <w:rFonts w:hint="eastAsia"/>
        </w:rPr>
        <w:t>3.分析评价</w:t>
      </w:r>
    </w:p>
    <w:p w14:paraId="48FFD42C">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14:paraId="110A9799">
      <w:pPr>
        <w:pStyle w:val="2"/>
        <w:ind w:firstLine="562"/>
      </w:pPr>
      <w:r>
        <w:rPr>
          <w:rFonts w:hint="eastAsia"/>
        </w:rPr>
        <w:t>4.撰写与提交评价报告</w:t>
      </w:r>
    </w:p>
    <w:p w14:paraId="015B4A65">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14:paraId="14E5869E">
      <w:pPr>
        <w:pStyle w:val="2"/>
        <w:ind w:firstLine="562"/>
      </w:pPr>
      <w:r>
        <w:rPr>
          <w:rFonts w:hint="eastAsia"/>
        </w:rPr>
        <w:t>5.问题整改</w:t>
      </w:r>
    </w:p>
    <w:p w14:paraId="559D4460">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D91F75B">
      <w:pPr>
        <w:pStyle w:val="2"/>
        <w:ind w:firstLine="562"/>
      </w:pPr>
      <w:r>
        <w:rPr>
          <w:rFonts w:hint="eastAsia"/>
        </w:rPr>
        <w:t>6.档案整理</w:t>
      </w:r>
    </w:p>
    <w:p w14:paraId="6883F253">
      <w:pPr>
        <w:ind w:firstLine="560"/>
      </w:pPr>
      <w:r>
        <w:t>建立和落实档案管理制度，将项目相关资料存档，包括但不限于：评价项目基本情况和相关文件、评价实施方案、项目支付资料等相关档案。</w:t>
      </w:r>
    </w:p>
    <w:p w14:paraId="55A08D31">
      <w:pPr>
        <w:pStyle w:val="3"/>
        <w:numPr>
          <w:ilvl w:val="0"/>
          <w:numId w:val="3"/>
        </w:numPr>
        <w:ind w:firstLine="643"/>
      </w:pPr>
      <w:r>
        <w:rPr>
          <w:rFonts w:hint="eastAsia"/>
        </w:rPr>
        <w:t>综合评价情况及评价结论</w:t>
      </w:r>
    </w:p>
    <w:p w14:paraId="2A63E881">
      <w:pPr>
        <w:pStyle w:val="4"/>
        <w:ind w:firstLine="643"/>
        <w:rPr>
          <w:b w:val="0"/>
        </w:rPr>
      </w:pPr>
      <w:r>
        <w:rPr>
          <w:rFonts w:hint="eastAsia"/>
        </w:rPr>
        <w:t>（一）综合评价情况</w:t>
      </w:r>
    </w:p>
    <w:p w14:paraId="79C3899D">
      <w:pPr>
        <w:ind w:firstLine="560"/>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14:paraId="40D6A79E">
      <w:pPr>
        <w:ind w:firstLine="560"/>
      </w:pPr>
      <w:r>
        <w:rPr>
          <w:rFonts w:hint="eastAsia"/>
        </w:rPr>
        <w:t>一是：工业拆迁成功出现政府、开发企业、居民多赢的局面,即政府通过解决工业改造的资金缺口,盘活了经济,改善了居民居住环境;房地产企业获取了开发收益,扩大了企业影响;居民获得更好的居住环境,是一项造福于民的工程, 将为我国和谐社会的构建贡献力量。</w:t>
      </w:r>
    </w:p>
    <w:p w14:paraId="2669FF3A">
      <w:pPr>
        <w:ind w:firstLine="560"/>
      </w:pPr>
      <w:r>
        <w:rPr>
          <w:rFonts w:hint="eastAsia"/>
        </w:rPr>
        <w:t>二是：出台了多项制度，并与有关部门签订了委托协议，规定在项目投产或竣工综合验收前，对排水系统进行验收，并加强后续排放的监督和管理，避免企业随意排放污水，减少环保事件的发生率，从而切实改善了全区的水环境、人居环境和投资环境，为社会经济可持续发展提供了有力保障。</w:t>
      </w:r>
    </w:p>
    <w:p w14:paraId="41DB7055">
      <w:pPr>
        <w:ind w:firstLine="560"/>
      </w:pPr>
      <w:r>
        <w:rPr>
          <w:rFonts w:hint="eastAsia"/>
        </w:rPr>
        <w:t>三是：有利于地区的重新规划，提升土地的利用价值。工业园区企业的拆迁，意味着土地资源的再次利用，促进经济的可持续发展。</w:t>
      </w:r>
    </w:p>
    <w:p w14:paraId="3CF8A697">
      <w:pPr>
        <w:pStyle w:val="4"/>
        <w:ind w:left="560" w:leftChars="200" w:firstLine="0" w:firstLineChars="0"/>
      </w:pPr>
      <w:r>
        <w:rPr>
          <w:rFonts w:hint="eastAsia"/>
        </w:rPr>
        <w:t>（二）评价结论</w:t>
      </w:r>
    </w:p>
    <w:p w14:paraId="33086ACE">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三级指标数量22</w:t>
      </w:r>
      <w:r>
        <w:rPr>
          <w:rFonts w:hint="eastAsia"/>
          <w:lang w:val="zh-TW" w:eastAsia="zh-TW"/>
        </w:rPr>
        <w:t>个，实现</w:t>
      </w:r>
      <w:r>
        <w:rPr>
          <w:rFonts w:hint="eastAsia"/>
        </w:rPr>
        <w:t>三级指标数量22</w:t>
      </w:r>
      <w:r>
        <w:rPr>
          <w:rFonts w:hint="eastAsia"/>
          <w:lang w:val="zh-TW" w:eastAsia="zh-TW"/>
        </w:rPr>
        <w:t>个，</w:t>
      </w:r>
      <w:r>
        <w:rPr>
          <w:rFonts w:hint="eastAsia"/>
        </w:rPr>
        <w:t>总体完成率为100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5</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rPr>
        <w:t>7</w:t>
      </w:r>
      <w:r>
        <w:rPr>
          <w:rFonts w:hint="eastAsia"/>
          <w:lang w:val="zh-TW" w:eastAsia="zh-TW"/>
        </w:rPr>
        <w:t>个，满分指标</w:t>
      </w:r>
      <w:r>
        <w:rPr>
          <w:rFonts w:hint="eastAsia"/>
        </w:rPr>
        <w:t>7</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rPr>
        <w:t>4</w:t>
      </w:r>
      <w:r>
        <w:rPr>
          <w:rFonts w:hint="eastAsia"/>
          <w:lang w:val="zh-TW" w:eastAsia="zh-TW"/>
        </w:rPr>
        <w:t>个，满分指标</w:t>
      </w:r>
      <w:r>
        <w:rPr>
          <w:rFonts w:hint="eastAsia"/>
        </w:rPr>
        <w:t>4</w:t>
      </w:r>
      <w:r>
        <w:rPr>
          <w:rFonts w:hint="eastAsia"/>
          <w:lang w:val="zh-TW" w:eastAsia="zh-TW"/>
        </w:rPr>
        <w:t>个，得分率</w:t>
      </w:r>
      <w:r>
        <w:rPr>
          <w:rFonts w:hint="eastAsia"/>
        </w:rPr>
        <w:t>100</w:t>
      </w:r>
      <w:r>
        <w:rPr>
          <w:rFonts w:hint="eastAsia"/>
          <w:lang w:val="zh-TW" w:eastAsia="zh-TW"/>
        </w:rPr>
        <w:t>%</w:t>
      </w:r>
      <w:r>
        <w:rPr>
          <w:rFonts w:hint="eastAsia"/>
          <w:lang w:val="zh-TW"/>
        </w:rPr>
        <w:t>，详细情况见“附件2：项目综合得分表”。</w:t>
      </w:r>
    </w:p>
    <w:p w14:paraId="09EC98C5">
      <w:pPr>
        <w:pStyle w:val="3"/>
        <w:numPr>
          <w:ilvl w:val="0"/>
          <w:numId w:val="3"/>
        </w:numPr>
        <w:ind w:firstLine="643"/>
      </w:pPr>
      <w:r>
        <w:rPr>
          <w:rFonts w:hint="eastAsia"/>
        </w:rPr>
        <w:t>绩效评价指标分析</w:t>
      </w:r>
    </w:p>
    <w:p w14:paraId="7909D0E2">
      <w:pPr>
        <w:pStyle w:val="4"/>
        <w:ind w:firstLine="643"/>
      </w:pPr>
      <w:r>
        <w:rPr>
          <w:rFonts w:hint="eastAsia"/>
        </w:rPr>
        <w:t>（一）项目决策情况</w:t>
      </w:r>
    </w:p>
    <w:p w14:paraId="331D9DE7">
      <w:pPr>
        <w:ind w:firstLine="560"/>
        <w:rPr>
          <w:rFonts w:ascii="Times New Roman" w:hAnsi="Times New Roman"/>
        </w:rPr>
      </w:pPr>
      <w:r>
        <w:rPr>
          <w:rFonts w:hint="eastAsia" w:cs="仿宋_GB2312"/>
        </w:rPr>
        <w:t>项目决策类指标由3个二级指标和6个三级指标构成，权重分21分，实际得分21分。</w:t>
      </w:r>
    </w:p>
    <w:p w14:paraId="03E14D45">
      <w:pPr>
        <w:pStyle w:val="2"/>
        <w:ind w:firstLine="562"/>
      </w:pPr>
      <w:r>
        <w:rPr>
          <w:rFonts w:hint="eastAsia"/>
        </w:rPr>
        <w:t>1.项目立项情况分析</w:t>
      </w:r>
    </w:p>
    <w:p w14:paraId="147F1B99">
      <w:pPr>
        <w:ind w:firstLine="562"/>
        <w:rPr>
          <w:b/>
          <w:bCs/>
          <w:lang w:eastAsia="zh-Hans"/>
        </w:rPr>
      </w:pPr>
      <w:r>
        <w:rPr>
          <w:rFonts w:hint="eastAsia"/>
          <w:b/>
          <w:bCs/>
        </w:rPr>
        <w:t>（1）</w:t>
      </w:r>
      <w:r>
        <w:rPr>
          <w:rFonts w:hint="eastAsia"/>
          <w:b/>
          <w:bCs/>
          <w:lang w:eastAsia="zh-Hans"/>
        </w:rPr>
        <w:t>立项依据充分性</w:t>
      </w:r>
    </w:p>
    <w:p w14:paraId="6F416CC7">
      <w:pPr>
        <w:ind w:firstLine="560"/>
        <w:rPr>
          <w:lang w:eastAsia="zh-Hans"/>
        </w:rPr>
      </w:pPr>
      <w:r>
        <w:rPr>
          <w:rFonts w:hint="eastAsia"/>
        </w:rPr>
        <w:t>本</w:t>
      </w:r>
      <w:r>
        <w:rPr>
          <w:rFonts w:hint="eastAsia"/>
          <w:lang w:eastAsia="zh-Hans"/>
        </w:rPr>
        <w:t>项目立项符合</w:t>
      </w:r>
      <w:r>
        <w:rPr>
          <w:rFonts w:hint="eastAsia" w:ascii="Times New Roman" w:hAnsi="Times New Roman"/>
        </w:rPr>
        <w:t>《和田地区2021年深入推进巩固拓展脱贫攻坚成果同乡村振兴有效衔接实施方案》（和党发〔2021〕3号）</w:t>
      </w:r>
      <w:r>
        <w:rPr>
          <w:rFonts w:hint="eastAsia"/>
          <w:lang w:eastAsia="zh-Hans" w:bidi="ar"/>
        </w:rPr>
        <w:t>，</w:t>
      </w:r>
      <w:r>
        <w:rPr>
          <w:rFonts w:hint="eastAsia"/>
          <w:lang w:eastAsia="zh-Hans"/>
        </w:rPr>
        <w:t>符合行业发展规划和政策要求</w:t>
      </w:r>
      <w:r>
        <w:rPr>
          <w:rFonts w:hint="eastAsia"/>
        </w:rPr>
        <w:t>；本</w:t>
      </w:r>
      <w:r>
        <w:rPr>
          <w:rFonts w:hint="eastAsia"/>
          <w:lang w:eastAsia="zh-Hans"/>
        </w:rPr>
        <w:t>项目立项符合《</w:t>
      </w:r>
      <w:r>
        <w:rPr>
          <w:rFonts w:hint="eastAsia"/>
        </w:rPr>
        <w:t>洛浦县乡村振兴局</w:t>
      </w:r>
      <w:r>
        <w:rPr>
          <w:rFonts w:hint="eastAsia"/>
          <w:lang w:eastAsia="zh-Hans"/>
        </w:rPr>
        <w:t>配置内设机构和人员编制规定》所要求的职责范围，属于</w:t>
      </w:r>
      <w:r>
        <w:rPr>
          <w:rFonts w:hint="eastAsia"/>
        </w:rPr>
        <w:t>我单位</w:t>
      </w:r>
      <w:r>
        <w:rPr>
          <w:rFonts w:hint="eastAsia"/>
          <w:lang w:eastAsia="zh-Hans"/>
        </w:rPr>
        <w:t>履职所需</w:t>
      </w:r>
      <w:r>
        <w:rPr>
          <w:rFonts w:hint="eastAsia"/>
        </w:rPr>
        <w:t>；</w:t>
      </w:r>
      <w:r>
        <w:rPr>
          <w:rFonts w:hint="eastAsia"/>
          <w:lang w:eastAsia="zh-Hans"/>
        </w:rPr>
        <w:t>根据《财政资金直接支付申请书》</w:t>
      </w:r>
      <w:r>
        <w:rPr>
          <w:rFonts w:hint="eastAsia"/>
        </w:rPr>
        <w:t>，本</w:t>
      </w:r>
      <w:r>
        <w:rPr>
          <w:rFonts w:hint="eastAsia"/>
          <w:lang w:eastAsia="zh-Hans"/>
        </w:rPr>
        <w:t>项目资金性质划分符合中央、地方事权支出责任划分原则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w:t>
      </w:r>
      <w:r>
        <w:rPr>
          <w:rFonts w:hint="eastAsia"/>
        </w:rPr>
        <w:t>本</w:t>
      </w:r>
      <w:r>
        <w:rPr>
          <w:rFonts w:hint="eastAsia"/>
          <w:lang w:eastAsia="zh-Hans"/>
        </w:rPr>
        <w:t>项目不存在重复。</w:t>
      </w:r>
    </w:p>
    <w:p w14:paraId="5BDF4198">
      <w:pPr>
        <w:ind w:firstLine="560"/>
        <w:rPr>
          <w:b/>
          <w:bC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，本项目立项依据充分。</w:t>
      </w:r>
    </w:p>
    <w:p w14:paraId="6B3E240F">
      <w:pPr>
        <w:ind w:firstLine="562"/>
        <w:rPr>
          <w:b/>
          <w:bCs/>
        </w:rPr>
      </w:pPr>
      <w:r>
        <w:rPr>
          <w:rFonts w:hint="eastAsia"/>
          <w:b/>
          <w:bCs/>
        </w:rPr>
        <w:t>（2）立项程序规范性</w:t>
      </w:r>
    </w:p>
    <w:p w14:paraId="0CCEE91B">
      <w:pPr>
        <w:ind w:firstLine="560"/>
        <w:rPr>
          <w:rFonts w:hint="eastAsia"/>
        </w:rPr>
      </w:pPr>
      <w:r>
        <w:rPr>
          <w:rFonts w:hint="eastAsia"/>
        </w:rPr>
        <w:t>本项目立项过程中产生的文件均符合</w:t>
      </w:r>
      <w:r>
        <w:rPr>
          <w:rFonts w:hint="eastAsia"/>
          <w:lang w:eastAsia="zh-Hans"/>
        </w:rPr>
        <w:t>相关要求</w:t>
      </w:r>
      <w:r>
        <w:rPr>
          <w:rFonts w:hint="eastAsia"/>
        </w:rPr>
        <w:t>。本</w:t>
      </w:r>
      <w:r>
        <w:rPr>
          <w:rFonts w:hint="eastAsia"/>
          <w:lang w:eastAsia="zh-Hans"/>
        </w:rPr>
        <w:t>项目为</w:t>
      </w:r>
      <w:r>
        <w:rPr>
          <w:rFonts w:hint="eastAsia"/>
        </w:rPr>
        <w:t>行政运行</w:t>
      </w:r>
      <w:r>
        <w:rPr>
          <w:rFonts w:hint="eastAsia"/>
          <w:lang w:eastAsia="zh-Hans"/>
        </w:rPr>
        <w:t>类项目，</w:t>
      </w:r>
      <w:r>
        <w:rPr>
          <w:rFonts w:hint="eastAsia"/>
        </w:rPr>
        <w:t>属于经常性项目，</w:t>
      </w:r>
      <w:r>
        <w:rPr>
          <w:rFonts w:hint="eastAsia"/>
          <w:lang w:eastAsia="zh-Hans"/>
        </w:rPr>
        <w:t>项目预算金额为</w:t>
      </w:r>
      <w:r>
        <w:rPr>
          <w:rFonts w:hint="eastAsia"/>
        </w:rPr>
        <w:t>133</w:t>
      </w:r>
      <w:r>
        <w:rPr>
          <w:rFonts w:hint="eastAsia"/>
          <w:lang w:eastAsia="zh-Hans"/>
        </w:rPr>
        <w:t>万元，不涉及</w:t>
      </w:r>
      <w:r>
        <w:rPr>
          <w:rFonts w:hint="eastAsia"/>
        </w:rPr>
        <w:t>事前绩效评估和风险评估。</w:t>
      </w:r>
    </w:p>
    <w:p w14:paraId="15313481">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，本项目立项程序合规。</w:t>
      </w:r>
    </w:p>
    <w:p w14:paraId="0BC1C2C2">
      <w:pPr>
        <w:pStyle w:val="2"/>
        <w:ind w:firstLine="562"/>
      </w:pPr>
      <w:r>
        <w:rPr>
          <w:rFonts w:hint="eastAsia"/>
        </w:rPr>
        <w:t>2.绩效目标情况分析</w:t>
      </w:r>
    </w:p>
    <w:p w14:paraId="702A0BDD">
      <w:pPr>
        <w:ind w:firstLine="562"/>
        <w:rPr>
          <w:b/>
          <w:bCs/>
        </w:rPr>
      </w:pPr>
      <w:r>
        <w:rPr>
          <w:rFonts w:hint="eastAsia"/>
          <w:b/>
          <w:bCs/>
        </w:rPr>
        <w:t>（1）绩效目标合理性</w:t>
      </w:r>
    </w:p>
    <w:p w14:paraId="55D1459C">
      <w:pPr>
        <w:ind w:firstLine="560"/>
        <w:rPr>
          <w:lang w:eastAsia="zh-Hans"/>
        </w:rPr>
      </w:pPr>
      <w:r>
        <w:rPr>
          <w:rFonts w:hint="eastAsia"/>
        </w:rPr>
        <w:t>本项目已设置年度绩效目标，具体内容为“保障12个乡村振兴示范村，购买项目设计服务1次，于2022年12月完成项目，项目总投资133万元。通过本项目的实施，有效提升公共服务水平，持续保障县级配套衔接资金项目顺利运行，使受益乡镇满意度达到95%以上”；本项目实际工作为：保障乡村振兴示范村数量12个，资金使用合规率100%，第三方服务合格率≥95%,项目开始时间2022年1月,项目完成时间2022年12月,资金支付及时率100%，项目管理相关费用≤133万元,通过实施本项目公共服务水平显著提升,科学计划促进社会发展,持续保障县级配套衔接资金管理工作。绩效目标与实际工作内容一致，两者具有相关性;本项目</w:t>
      </w:r>
      <w:r>
        <w:rPr>
          <w:rFonts w:hint="eastAsia"/>
          <w:lang w:eastAsia="zh-Hans"/>
        </w:rPr>
        <w:t>按照绩效目标完成数量指标、质量指标、时效指标、成本指标，有效保障了</w:t>
      </w:r>
      <w:r>
        <w:rPr>
          <w:rFonts w:hint="eastAsia"/>
        </w:rPr>
        <w:t>保障县级配套衔接资金管理工作</w:t>
      </w:r>
      <w:r>
        <w:rPr>
          <w:rFonts w:hint="eastAsia"/>
          <w:lang w:eastAsia="zh-Hans"/>
        </w:rPr>
        <w:t>，年度绩效目标完成，预期产出效益和效果符合正常的业绩水平。</w:t>
      </w:r>
    </w:p>
    <w:p w14:paraId="1B36D73F">
      <w:pPr>
        <w:ind w:firstLine="560"/>
        <w:rPr>
          <w:lang w:eastAsia="zh-Hans"/>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，本项目绩效目标设置合理。</w:t>
      </w:r>
    </w:p>
    <w:p w14:paraId="5820B551">
      <w:pPr>
        <w:ind w:firstLine="562"/>
        <w:rPr>
          <w:b/>
          <w:bCs/>
        </w:rPr>
      </w:pPr>
      <w:r>
        <w:rPr>
          <w:rFonts w:hint="eastAsia"/>
          <w:b/>
          <w:bCs/>
        </w:rPr>
        <w:t>（2）绩效指标明确性</w:t>
      </w:r>
    </w:p>
    <w:p w14:paraId="7F8D139E">
      <w:pPr>
        <w:ind w:firstLine="560"/>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lang w:eastAsia="zh-Hans"/>
        </w:rPr>
        <w:t>项目已将年度绩效目标进行细化为绩效指标体系，共设置一级指标3个，二级指标</w:t>
      </w:r>
      <w:r>
        <w:rPr>
          <w:rFonts w:hint="eastAsia"/>
        </w:rPr>
        <w:t>8</w:t>
      </w:r>
      <w:r>
        <w:rPr>
          <w:rFonts w:hint="eastAsia"/>
          <w:lang w:eastAsia="zh-Hans"/>
        </w:rPr>
        <w:t>个，三级指标</w:t>
      </w:r>
      <w:r>
        <w:rPr>
          <w:rFonts w:hint="eastAsia"/>
        </w:rPr>
        <w:t>11</w:t>
      </w:r>
      <w:r>
        <w:rPr>
          <w:rFonts w:hint="eastAsia"/>
          <w:lang w:eastAsia="zh-Hans"/>
        </w:rPr>
        <w:t>个</w:t>
      </w:r>
      <w:r>
        <w:rPr>
          <w:rFonts w:hint="eastAsia"/>
        </w:rPr>
        <w:t>，</w:t>
      </w:r>
      <w:r>
        <w:rPr>
          <w:rFonts w:hint="eastAsia"/>
          <w:lang w:eastAsia="zh-Hans"/>
        </w:rPr>
        <w:t>定量指标</w:t>
      </w:r>
      <w:r>
        <w:rPr>
          <w:rFonts w:hint="eastAsia"/>
        </w:rPr>
        <w:t>8</w:t>
      </w:r>
      <w:r>
        <w:rPr>
          <w:rFonts w:hint="eastAsia"/>
          <w:lang w:eastAsia="zh-Hans"/>
        </w:rPr>
        <w:t>个，定性指标</w:t>
      </w:r>
      <w:r>
        <w:rPr>
          <w:rFonts w:hint="eastAsia"/>
        </w:rPr>
        <w:t>3</w:t>
      </w:r>
      <w:r>
        <w:rPr>
          <w:rFonts w:hint="eastAsia"/>
          <w:lang w:eastAsia="zh-Hans"/>
        </w:rPr>
        <w:t>个，指标量化率为</w:t>
      </w:r>
      <w:r>
        <w:rPr>
          <w:rFonts w:hint="eastAsia"/>
        </w:rPr>
        <w:t>72.73</w:t>
      </w:r>
      <w:r>
        <w:rPr>
          <w:rFonts w:hint="eastAsia"/>
          <w:lang w:eastAsia="zh-Hans"/>
        </w:rPr>
        <w:t>%，量化率达70%以上</w:t>
      </w:r>
      <w:r>
        <w:rPr>
          <w:rFonts w:hint="eastAsia"/>
        </w:rPr>
        <w:t>。</w:t>
      </w:r>
    </w:p>
    <w:p w14:paraId="33814359">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，本项目所设置绩效指标明确。</w:t>
      </w:r>
    </w:p>
    <w:p w14:paraId="5041AB6B">
      <w:pPr>
        <w:pStyle w:val="2"/>
        <w:ind w:firstLine="562"/>
      </w:pPr>
      <w:r>
        <w:rPr>
          <w:rFonts w:hint="eastAsia"/>
        </w:rPr>
        <w:t>3.资金投入情况分析</w:t>
      </w:r>
    </w:p>
    <w:p w14:paraId="78B0C697">
      <w:pPr>
        <w:ind w:firstLine="562"/>
        <w:rPr>
          <w:b/>
          <w:bCs/>
          <w:lang w:eastAsia="zh-Hans" w:bidi="ar"/>
        </w:rPr>
      </w:pPr>
      <w:r>
        <w:rPr>
          <w:rFonts w:hint="eastAsia"/>
          <w:b/>
          <w:bCs/>
          <w:lang w:eastAsia="zh-Hans" w:bidi="ar"/>
        </w:rPr>
        <w:t>（1）预算编制科学性</w:t>
      </w:r>
    </w:p>
    <w:p w14:paraId="58858BFE">
      <w:pPr>
        <w:ind w:firstLine="560"/>
        <w:rPr>
          <w:lang w:bidi="ar"/>
        </w:rPr>
      </w:pPr>
      <w:r>
        <w:rPr>
          <w:rFonts w:hint="eastAsia"/>
          <w:lang w:bidi="ar"/>
        </w:rPr>
        <w:t>本</w:t>
      </w:r>
      <w:r>
        <w:rPr>
          <w:rFonts w:hint="eastAsia"/>
          <w:lang w:eastAsia="zh-Hans" w:bidi="ar"/>
        </w:rPr>
        <w:t>项目预算编制通过市场询价得出，即预算</w:t>
      </w:r>
      <w:r>
        <w:rPr>
          <w:rFonts w:hint="eastAsia"/>
          <w:lang w:bidi="ar"/>
        </w:rPr>
        <w:t>编制</w:t>
      </w:r>
      <w:r>
        <w:rPr>
          <w:rFonts w:hint="eastAsia"/>
          <w:lang w:eastAsia="zh-Hans" w:bidi="ar"/>
        </w:rPr>
        <w:t>较科学且经过论证</w:t>
      </w:r>
      <w:r>
        <w:rPr>
          <w:rFonts w:hint="eastAsia"/>
          <w:lang w:bidi="ar"/>
        </w:rPr>
        <w:t>；</w:t>
      </w:r>
    </w:p>
    <w:p w14:paraId="298C4F7A">
      <w:pPr>
        <w:ind w:firstLine="560"/>
        <w:rPr>
          <w:lang w:bidi="ar"/>
        </w:rPr>
      </w:pPr>
      <w:r>
        <w:rPr>
          <w:rFonts w:hint="eastAsia"/>
          <w:lang w:eastAsia="zh-Hans" w:bidi="ar"/>
        </w:rPr>
        <w:t>预算申请内容为</w:t>
      </w:r>
      <w:r>
        <w:rPr>
          <w:rFonts w:hint="eastAsia"/>
          <w:lang w:bidi="ar"/>
        </w:rPr>
        <w:t>保障乡村振兴示范村数量12个，资金使用合规率100%，第三方服务合格率≥95%,项目开始时间2022年1月,项目完成时间2022年12月,资金支付及时率100%，项目管理相关费用≤133万元,通过实施本项目公共服务水平显著提升,科学计划促进社会发展,持续保障县级配套衔接资金管理工作</w:t>
      </w:r>
      <w:r>
        <w:rPr>
          <w:rFonts w:hint="eastAsia"/>
          <w:lang w:eastAsia="zh-Hans" w:bidi="ar"/>
        </w:rPr>
        <w:t>，项目实际内容为</w:t>
      </w:r>
      <w:r>
        <w:rPr>
          <w:rFonts w:hint="eastAsia"/>
          <w:lang w:bidi="ar"/>
        </w:rPr>
        <w:t>截</w:t>
      </w:r>
      <w:r>
        <w:rPr>
          <w:rFonts w:hint="eastAsia"/>
          <w:lang w:eastAsia="zh-CN" w:bidi="ar"/>
        </w:rPr>
        <w:t>至</w:t>
      </w:r>
      <w:r>
        <w:rPr>
          <w:rFonts w:hint="eastAsia"/>
          <w:lang w:bidi="ar"/>
        </w:rPr>
        <w:t>2022年12月31日，本项目已完成保障12个乡村振兴示范村，购买项目设计服务1次，于2022年12月完成项目，项目总投资133万元。通过本项目的实施，有效提升了公共服务水平，持续保障了县级配套衔接资金项目顺利运行，受益乡镇满意度达到100%以上。</w:t>
      </w:r>
      <w:r>
        <w:rPr>
          <w:rFonts w:hint="eastAsia"/>
          <w:lang w:eastAsia="zh-Hans" w:bidi="ar"/>
        </w:rPr>
        <w:t>预算申请与《</w:t>
      </w:r>
      <w:r>
        <w:rPr>
          <w:rFonts w:hint="eastAsia"/>
          <w:lang w:bidi="ar"/>
        </w:rPr>
        <w:t>洛浦县2022年项目管理费项目实施方案</w:t>
      </w:r>
      <w:r>
        <w:rPr>
          <w:rFonts w:hint="eastAsia"/>
          <w:lang w:eastAsia="zh-Hans" w:bidi="ar"/>
        </w:rPr>
        <w:t>》中涉及的项目内容匹配</w:t>
      </w:r>
      <w:r>
        <w:rPr>
          <w:rFonts w:hint="eastAsia"/>
          <w:lang w:bidi="ar"/>
        </w:rPr>
        <w:t>；</w:t>
      </w:r>
    </w:p>
    <w:p w14:paraId="1BEF73F1">
      <w:pPr>
        <w:ind w:firstLine="560"/>
        <w:rPr>
          <w:lang w:bidi="ar"/>
        </w:rPr>
      </w:pPr>
      <w:r>
        <w:rPr>
          <w:rFonts w:hint="eastAsia"/>
        </w:rPr>
        <w:t>本项目预算申请资金133万元，我单位在预算申请中严格按照单位标准和数量进行核算，其中：单位标准为万元，数量为133。本项目预算额度测算依据充分，严格按照标准编制，</w:t>
      </w:r>
      <w:r>
        <w:rPr>
          <w:rFonts w:hint="eastAsia"/>
          <w:lang w:eastAsia="zh-Hans" w:bidi="ar"/>
        </w:rPr>
        <w:t>预算确定资金量与实际工作任务相匹配</w:t>
      </w:r>
      <w:r>
        <w:rPr>
          <w:rFonts w:hint="eastAsia"/>
          <w:lang w:bidi="ar"/>
        </w:rPr>
        <w:t>；</w:t>
      </w:r>
    </w:p>
    <w:p w14:paraId="1ABC6F5C">
      <w:pPr>
        <w:ind w:firstLine="560"/>
        <w:rPr>
          <w:lang w:bidi="ar"/>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，本项目预算编制科学。</w:t>
      </w:r>
    </w:p>
    <w:p w14:paraId="268D18CB">
      <w:pPr>
        <w:ind w:firstLine="562"/>
        <w:rPr>
          <w:b/>
          <w:bCs/>
        </w:rPr>
      </w:pPr>
      <w:r>
        <w:rPr>
          <w:rFonts w:hint="eastAsia"/>
          <w:b/>
          <w:bCs/>
        </w:rPr>
        <w:t>（2）资金分配合理性</w:t>
      </w:r>
    </w:p>
    <w:p w14:paraId="14987FD6">
      <w:pPr>
        <w:ind w:firstLine="560"/>
      </w:pPr>
      <w:r>
        <w:rPr>
          <w:rFonts w:hint="eastAsia" w:cs="仿宋_GB2312"/>
          <w:lang w:bidi="ar"/>
        </w:rPr>
        <w:t>本</w:t>
      </w:r>
      <w:r>
        <w:rPr>
          <w:rFonts w:hint="eastAsia"/>
          <w:lang w:bidi="ar"/>
        </w:rPr>
        <w:t>项目实际分配资金以</w:t>
      </w:r>
      <w:r>
        <w:rPr>
          <w:rFonts w:hint="eastAsia"/>
          <w:lang w:eastAsia="zh-Hans" w:bidi="ar"/>
        </w:rPr>
        <w:t>《关于</w:t>
      </w:r>
      <w:r>
        <w:rPr>
          <w:rFonts w:hint="eastAsia"/>
          <w:lang w:bidi="ar"/>
        </w:rPr>
        <w:t>申请项目管理费项目资金的请示</w:t>
      </w:r>
      <w:r>
        <w:rPr>
          <w:rFonts w:hint="eastAsia"/>
          <w:lang w:eastAsia="zh-Hans" w:bidi="ar"/>
        </w:rPr>
        <w:t>》</w:t>
      </w:r>
      <w:r>
        <w:rPr>
          <w:rFonts w:hint="eastAsia"/>
          <w:lang w:bidi="ar"/>
        </w:rPr>
        <w:t>和《项目管理费项目实施方案》</w:t>
      </w:r>
      <w:r>
        <w:rPr>
          <w:rFonts w:hint="eastAsia"/>
          <w:lang w:eastAsia="zh-Hans" w:bidi="ar"/>
        </w:rPr>
        <w:t>为依据进行资金分配，预算资金分配依据充分</w:t>
      </w:r>
      <w:r>
        <w:rPr>
          <w:rFonts w:hint="eastAsia"/>
          <w:lang w:bidi="ar"/>
        </w:rPr>
        <w:t>。根据</w:t>
      </w:r>
      <w:r>
        <w:rPr>
          <w:rFonts w:hint="eastAsia" w:ascii="Times New Roman" w:hAnsi="Times New Roman"/>
        </w:rPr>
        <w:t>《和田地区2021年深入推进巩固拓展脱贫攻坚成果同乡村振兴有效衔接实施方案》（和党发〔2021〕3号）</w:t>
      </w:r>
      <w:r>
        <w:rPr>
          <w:rFonts w:hint="eastAsia"/>
          <w:lang w:bidi="ar"/>
        </w:rPr>
        <w:t>文件显示，本项目实际到位资金133万元，实际分配资金与我单位提交申请的资金额度一致，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14:paraId="0B592465">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，本项目资金分配合理。</w:t>
      </w:r>
    </w:p>
    <w:p w14:paraId="2AB1E282">
      <w:pPr>
        <w:pStyle w:val="4"/>
        <w:ind w:firstLine="643"/>
      </w:pPr>
      <w:r>
        <w:rPr>
          <w:rFonts w:hint="eastAsia"/>
        </w:rPr>
        <w:t>（二）项目过程情况</w:t>
      </w:r>
    </w:p>
    <w:p w14:paraId="5A9FDE6B">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rPr>
        <w:t>19</w:t>
      </w:r>
      <w:r>
        <w:rPr>
          <w:rFonts w:hint="eastAsia" w:cs="仿宋_GB2312"/>
          <w:u w:color="000000"/>
          <w:lang w:val="zh-TW" w:eastAsia="zh-TW"/>
        </w:rPr>
        <w:t>分</w:t>
      </w:r>
      <w:r>
        <w:rPr>
          <w:rFonts w:hint="eastAsia" w:cs="仿宋_GB2312"/>
          <w:u w:color="000000"/>
          <w:lang w:val="zh-TW"/>
        </w:rPr>
        <w:t>。</w:t>
      </w:r>
    </w:p>
    <w:p w14:paraId="0C2C5405">
      <w:pPr>
        <w:pStyle w:val="2"/>
        <w:ind w:firstLine="562"/>
      </w:pPr>
      <w:r>
        <w:rPr>
          <w:rFonts w:hint="eastAsia"/>
        </w:rPr>
        <w:t>1.资金管理情况分析</w:t>
      </w:r>
    </w:p>
    <w:p w14:paraId="2EC94888">
      <w:pPr>
        <w:ind w:firstLine="562"/>
        <w:rPr>
          <w:b/>
          <w:bCs/>
        </w:rPr>
      </w:pPr>
      <w:r>
        <w:rPr>
          <w:rFonts w:hint="eastAsia"/>
          <w:b/>
          <w:bCs/>
        </w:rPr>
        <w:t>（1）资金到位率</w:t>
      </w:r>
    </w:p>
    <w:p w14:paraId="47E37DA7">
      <w:pPr>
        <w:ind w:firstLine="560"/>
      </w:pPr>
      <w:r>
        <w:rPr>
          <w:rFonts w:hint="eastAsia"/>
        </w:rPr>
        <w:t>本项目预算资金为133万元，其中：本级财政安排资金133万元，其他资金0.00万元，实际到位资金133万元，资金到位率100%。得分4分。</w:t>
      </w:r>
    </w:p>
    <w:p w14:paraId="7C4C14EE">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，本项目资金分配合理。</w:t>
      </w:r>
    </w:p>
    <w:p w14:paraId="4F72F63D">
      <w:pPr>
        <w:ind w:firstLine="562"/>
      </w:pPr>
      <w:r>
        <w:rPr>
          <w:rFonts w:hint="eastAsia"/>
          <w:b/>
          <w:bCs/>
        </w:rPr>
        <w:t>（2）预算执行率</w:t>
      </w:r>
    </w:p>
    <w:p w14:paraId="0056A123">
      <w:pPr>
        <w:ind w:firstLine="560"/>
      </w:pPr>
      <w:r>
        <w:rPr>
          <w:rFonts w:hint="eastAsia"/>
        </w:rPr>
        <w:t>本项目实际支出资金133万元，</w:t>
      </w:r>
      <w:r>
        <w:rPr>
          <w:rFonts w:hint="eastAsia"/>
          <w:lang w:eastAsia="zh-Hans"/>
        </w:rPr>
        <w:t>预算执行率</w:t>
      </w:r>
      <w:r>
        <w:rPr>
          <w:rFonts w:hint="eastAsia"/>
        </w:rPr>
        <w:t>100%。得分5分。</w:t>
      </w:r>
    </w:p>
    <w:p w14:paraId="22265367">
      <w:pPr>
        <w:ind w:firstLine="560"/>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，本项目资金分配合理。</w:t>
      </w:r>
    </w:p>
    <w:p w14:paraId="5B754FB8">
      <w:pPr>
        <w:ind w:firstLine="562"/>
        <w:rPr>
          <w:b/>
          <w:bCs/>
        </w:rPr>
      </w:pPr>
      <w:r>
        <w:rPr>
          <w:rFonts w:hint="eastAsia"/>
          <w:b/>
          <w:bCs/>
        </w:rPr>
        <w:t>（3）资金使用合规性</w:t>
      </w:r>
    </w:p>
    <w:p w14:paraId="097B9D04">
      <w:pPr>
        <w:ind w:firstLine="560"/>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乡村振兴局</w:t>
      </w:r>
      <w:r>
        <w:t>资金管理办法》</w:t>
      </w:r>
      <w:r>
        <w:rPr>
          <w:rFonts w:hint="eastAsia"/>
        </w:rPr>
        <w:t>《乡村振兴局专项资金管理办法》，</w:t>
      </w:r>
      <w:r>
        <w:t>资金的拨付有完整的审批程序和手续</w:t>
      </w:r>
      <w:r>
        <w:rPr>
          <w:rFonts w:hint="eastAsia"/>
        </w:rPr>
        <w:t>，资金实际使用方向与预算批复用途一致，</w:t>
      </w:r>
      <w:r>
        <w:t>不存在截留、挤占、挪用、虚列支出的情况。</w:t>
      </w:r>
    </w:p>
    <w:p w14:paraId="573C833F">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，资金支出符合我单位财务管理制度规定。</w:t>
      </w:r>
    </w:p>
    <w:p w14:paraId="41B14F63">
      <w:pPr>
        <w:pStyle w:val="2"/>
        <w:ind w:firstLine="562"/>
      </w:pPr>
      <w:r>
        <w:rPr>
          <w:rFonts w:hint="eastAsia"/>
        </w:rPr>
        <w:t>2.组织实施情况分析</w:t>
      </w:r>
    </w:p>
    <w:p w14:paraId="34DEAF54">
      <w:pPr>
        <w:ind w:firstLine="562"/>
        <w:rPr>
          <w:b/>
          <w:bCs/>
        </w:rPr>
      </w:pPr>
      <w:r>
        <w:rPr>
          <w:rFonts w:hint="eastAsia"/>
          <w:b/>
          <w:bCs/>
        </w:rPr>
        <w:t>（1）管理制度健全性</w:t>
      </w:r>
    </w:p>
    <w:p w14:paraId="453B1E5D">
      <w:pPr>
        <w:ind w:firstLine="560"/>
        <w:rPr>
          <w:lang w:eastAsia="zh-Hans"/>
        </w:rPr>
      </w:pPr>
      <w:r>
        <w:rPr>
          <w:rFonts w:hint="eastAsia"/>
        </w:rPr>
        <w:t>我单位已制定《乡村振兴局资金管理办法》、《乡村振兴局收支业务管理制度》、《乡村振兴局政府采购业务管理制度》、《乡村振兴局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14:paraId="3A8D1037">
      <w:pPr>
        <w:ind w:firstLine="560"/>
        <w:rPr>
          <w:lang w:eastAsia="zh-Hans"/>
        </w:rPr>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，项目制度建设健全。</w:t>
      </w:r>
    </w:p>
    <w:p w14:paraId="5A33E97D">
      <w:pPr>
        <w:ind w:firstLine="562"/>
        <w:rPr>
          <w:b/>
          <w:bCs/>
          <w:lang w:eastAsia="zh-Hans"/>
        </w:rPr>
      </w:pPr>
      <w:r>
        <w:rPr>
          <w:rFonts w:hint="eastAsia"/>
          <w:b/>
          <w:bCs/>
        </w:rPr>
        <w:t>（2）</w:t>
      </w:r>
      <w:r>
        <w:rPr>
          <w:b/>
          <w:bCs/>
          <w:lang w:eastAsia="zh-Hans"/>
        </w:rPr>
        <w:t>制度执行有效性</w:t>
      </w:r>
    </w:p>
    <w:p w14:paraId="38D21C2A">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洛浦县2022年项目管理费项目工作领导小组，由副局长马国强任组长，负责项目的组织工作；张锦秀任副组长，负责项目的实施工作；组员包括：王萍和杨秋华，主要负责项目监督管理、验收以及资金核拨等工作。</w:t>
      </w:r>
    </w:p>
    <w:p w14:paraId="334A32CE">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，本项目所建立制度执行有效。</w:t>
      </w:r>
    </w:p>
    <w:p w14:paraId="528262B4">
      <w:pPr>
        <w:pStyle w:val="4"/>
        <w:ind w:left="560" w:leftChars="200" w:firstLine="0" w:firstLineChars="0"/>
      </w:pPr>
      <w:r>
        <w:rPr>
          <w:rFonts w:hint="eastAsia"/>
        </w:rPr>
        <w:t>（三）项目产出情况</w:t>
      </w:r>
    </w:p>
    <w:p w14:paraId="4D082A61">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4</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7</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20</w:t>
      </w:r>
      <w:r>
        <w:rPr>
          <w:rFonts w:hint="eastAsia" w:cs="仿宋_GB2312"/>
          <w:u w:color="000000"/>
          <w:lang w:val="zh-TW" w:eastAsia="zh-TW"/>
        </w:rPr>
        <w:t>分，实际得分</w:t>
      </w:r>
      <w:r>
        <w:rPr>
          <w:rFonts w:hint="eastAsia" w:cs="仿宋_GB2312"/>
        </w:rPr>
        <w:t>20</w:t>
      </w:r>
      <w:r>
        <w:rPr>
          <w:rFonts w:hint="eastAsia" w:cs="仿宋_GB2312"/>
          <w:u w:color="000000"/>
          <w:lang w:val="zh-TW" w:eastAsia="zh-TW"/>
        </w:rPr>
        <w:t>分</w:t>
      </w:r>
      <w:r>
        <w:rPr>
          <w:rFonts w:hint="eastAsia" w:cs="仿宋_GB2312"/>
          <w:u w:color="000000"/>
          <w:lang w:val="zh-TW"/>
        </w:rPr>
        <w:t>。</w:t>
      </w:r>
    </w:p>
    <w:p w14:paraId="0A0138F2">
      <w:pPr>
        <w:pStyle w:val="2"/>
        <w:ind w:firstLine="562"/>
      </w:pPr>
      <w:r>
        <w:rPr>
          <w:rFonts w:hint="eastAsia"/>
        </w:rPr>
        <w:t>1.数量指标完成情况分析</w:t>
      </w:r>
    </w:p>
    <w:p w14:paraId="5DF32403">
      <w:pPr>
        <w:ind w:firstLine="560"/>
      </w:pPr>
      <w:r>
        <w:rPr>
          <w:rFonts w:hint="eastAsia"/>
        </w:rPr>
        <w:t>“保障乡村振兴示范村数量”指标：预期指标值为≥12个，实际完成指标值为12个，指标完成率为100%。</w:t>
      </w:r>
    </w:p>
    <w:p w14:paraId="1D583D01">
      <w:pPr>
        <w:ind w:firstLine="560"/>
      </w:pPr>
      <w:r>
        <w:rPr>
          <w:rFonts w:hint="eastAsia"/>
        </w:rPr>
        <w:t>“购买项目设计服务次数”指标：预期指标值为≥1次，实际完成指标值为1次，指标完成率为100%。</w:t>
      </w:r>
    </w:p>
    <w:p w14:paraId="48DC6349">
      <w:pPr>
        <w:pStyle w:val="2"/>
        <w:keepNext w:val="0"/>
        <w:keepLines w:val="0"/>
        <w:ind w:firstLine="562"/>
      </w:pPr>
      <w:r>
        <w:rPr>
          <w:rFonts w:hint="eastAsia"/>
        </w:rPr>
        <w:t>2.质量指标完成情况分析</w:t>
      </w:r>
    </w:p>
    <w:p w14:paraId="7C289E4F">
      <w:pPr>
        <w:ind w:firstLine="560"/>
      </w:pPr>
      <w:r>
        <w:rPr>
          <w:rFonts w:hint="eastAsia"/>
        </w:rPr>
        <w:t>“资金使用合规率”指标：预期指标值为=100%，实际完成指标值为100%，指标完成率为100%。</w:t>
      </w:r>
    </w:p>
    <w:p w14:paraId="7EB2CC63">
      <w:pPr>
        <w:ind w:firstLine="560"/>
      </w:pPr>
      <w:r>
        <w:rPr>
          <w:rFonts w:hint="eastAsia"/>
        </w:rPr>
        <w:t>“第三方服务合格率”指标：预期指标值为≥95%，实际完成指标值为95%，指标完成率为100%。</w:t>
      </w:r>
    </w:p>
    <w:p w14:paraId="4572593D">
      <w:pPr>
        <w:pStyle w:val="2"/>
        <w:ind w:firstLine="562"/>
      </w:pPr>
      <w:r>
        <w:rPr>
          <w:rFonts w:hint="eastAsia"/>
        </w:rPr>
        <w:t>3.时效指标完成情况分析</w:t>
      </w:r>
    </w:p>
    <w:p w14:paraId="1DA9E246">
      <w:pPr>
        <w:ind w:firstLine="560"/>
      </w:pPr>
      <w:r>
        <w:rPr>
          <w:rFonts w:hint="eastAsia"/>
        </w:rPr>
        <w:t>“项目完成时间”指标：预期指标值为2022年12月，实际完成指标值为2022年12月，指标完成率为100%。</w:t>
      </w:r>
    </w:p>
    <w:p w14:paraId="33005D28">
      <w:pPr>
        <w:ind w:firstLine="560"/>
      </w:pPr>
      <w:r>
        <w:rPr>
          <w:rFonts w:hint="eastAsia"/>
        </w:rPr>
        <w:t>“资金支付及时率”指标：预期指标值为=100%，实际完成指标值为100%，指标完成率为100%。</w:t>
      </w:r>
    </w:p>
    <w:p w14:paraId="6964E5F1">
      <w:pPr>
        <w:pStyle w:val="2"/>
        <w:ind w:firstLine="562"/>
      </w:pPr>
      <w:r>
        <w:rPr>
          <w:rFonts w:hint="eastAsia"/>
        </w:rPr>
        <w:t>4.成本指标完成情况分析</w:t>
      </w:r>
    </w:p>
    <w:p w14:paraId="078F7F5B">
      <w:pPr>
        <w:ind w:firstLine="560"/>
      </w:pPr>
      <w:r>
        <w:rPr>
          <w:rFonts w:hint="eastAsia"/>
        </w:rPr>
        <w:t>“项目管理相关费用”指标：预期指标值为≤133万元，实际完成指标值为133万元，指标完成率为100%。</w:t>
      </w:r>
    </w:p>
    <w:p w14:paraId="6303FE69">
      <w:pPr>
        <w:pStyle w:val="4"/>
        <w:ind w:firstLine="643"/>
      </w:pPr>
      <w:r>
        <w:rPr>
          <w:rFonts w:hint="eastAsia"/>
        </w:rPr>
        <w:t>（四）项目效益情况</w:t>
      </w:r>
    </w:p>
    <w:p w14:paraId="75C41622">
      <w:pPr>
        <w:ind w:firstLine="560"/>
        <w:rPr>
          <w:rFonts w:cs="仿宋_GB2312"/>
          <w:u w:color="000000"/>
          <w:lang w:val="zh-TW"/>
        </w:rPr>
      </w:pPr>
      <w:r>
        <w:rPr>
          <w:rFonts w:hint="eastAsia" w:cs="仿宋_GB2312"/>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rPr>
        <w:t>3</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4</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40</w:t>
      </w:r>
      <w:r>
        <w:rPr>
          <w:rFonts w:hint="eastAsia" w:cs="仿宋_GB2312"/>
          <w:u w:color="000000"/>
          <w:lang w:val="zh-TW" w:eastAsia="zh-TW"/>
        </w:rPr>
        <w:t>分，实际得分</w:t>
      </w:r>
      <w:r>
        <w:rPr>
          <w:rFonts w:hint="eastAsia" w:cs="仿宋_GB2312"/>
          <w:u w:color="000000"/>
        </w:rPr>
        <w:t>40</w:t>
      </w:r>
      <w:r>
        <w:rPr>
          <w:rFonts w:hint="eastAsia" w:cs="仿宋_GB2312"/>
          <w:u w:color="000000"/>
          <w:lang w:val="zh-TW" w:eastAsia="zh-TW"/>
        </w:rPr>
        <w:t>分</w:t>
      </w:r>
      <w:r>
        <w:rPr>
          <w:rFonts w:hint="eastAsia" w:cs="仿宋_GB2312"/>
          <w:u w:color="000000"/>
          <w:lang w:val="zh-TW"/>
        </w:rPr>
        <w:t>。</w:t>
      </w:r>
    </w:p>
    <w:p w14:paraId="1553CA9E">
      <w:pPr>
        <w:pStyle w:val="2"/>
        <w:keepNext w:val="0"/>
        <w:keepLines w:val="0"/>
        <w:ind w:firstLine="562"/>
      </w:pPr>
      <w:r>
        <w:rPr>
          <w:rFonts w:hint="eastAsia"/>
        </w:rPr>
        <w:t>1.经济效益完成情况分析</w:t>
      </w:r>
    </w:p>
    <w:p w14:paraId="5B509BE4">
      <w:pPr>
        <w:pStyle w:val="2"/>
        <w:keepNext w:val="0"/>
        <w:keepLines w:val="0"/>
        <w:ind w:firstLine="560"/>
        <w:rPr>
          <w:rFonts w:cs="仿宋_GB2312"/>
          <w:b w:val="0"/>
          <w:bCs w:val="0"/>
          <w:kern w:val="2"/>
          <w:szCs w:val="24"/>
          <w:u w:color="000000"/>
          <w:lang w:val="zh-TW"/>
        </w:rPr>
      </w:pPr>
      <w:r>
        <w:rPr>
          <w:rFonts w:hint="eastAsia" w:cs="仿宋_GB2312"/>
          <w:b w:val="0"/>
          <w:bCs w:val="0"/>
          <w:kern w:val="2"/>
          <w:szCs w:val="24"/>
          <w:u w:color="000000"/>
          <w:lang w:val="zh-TW"/>
        </w:rPr>
        <w:t>“</w:t>
      </w:r>
      <w:r>
        <w:rPr>
          <w:rFonts w:hint="eastAsia" w:cs="仿宋_GB2312"/>
          <w:b w:val="0"/>
          <w:bCs w:val="0"/>
          <w:kern w:val="2"/>
          <w:szCs w:val="24"/>
          <w:u w:color="000000"/>
        </w:rPr>
        <w:t>无此类指标</w:t>
      </w:r>
      <w:r>
        <w:rPr>
          <w:rFonts w:hint="eastAsia" w:cs="仿宋_GB2312"/>
          <w:b w:val="0"/>
          <w:bCs w:val="0"/>
          <w:kern w:val="2"/>
          <w:szCs w:val="24"/>
          <w:u w:color="000000"/>
          <w:lang w:val="zh-TW"/>
        </w:rPr>
        <w:t>”。</w:t>
      </w:r>
    </w:p>
    <w:p w14:paraId="32BD1FDF">
      <w:pPr>
        <w:pStyle w:val="2"/>
        <w:keepNext w:val="0"/>
        <w:keepLines w:val="0"/>
        <w:ind w:firstLine="562"/>
      </w:pPr>
      <w:r>
        <w:rPr>
          <w:rFonts w:hint="eastAsia"/>
        </w:rPr>
        <w:t>2.社会效益完成情况分析</w:t>
      </w:r>
    </w:p>
    <w:p w14:paraId="14C1EC57">
      <w:pPr>
        <w:pStyle w:val="2"/>
        <w:keepNext w:val="0"/>
        <w:keepLines w:val="0"/>
        <w:ind w:firstLine="560"/>
        <w:rPr>
          <w:rFonts w:cs="仿宋_GB2312"/>
          <w:b w:val="0"/>
          <w:bCs w:val="0"/>
          <w:kern w:val="2"/>
          <w:szCs w:val="24"/>
          <w:u w:color="000000"/>
          <w:lang w:val="zh-TW"/>
        </w:rPr>
      </w:pPr>
      <w:r>
        <w:rPr>
          <w:rFonts w:hint="eastAsia" w:cs="仿宋_GB2312"/>
          <w:b w:val="0"/>
          <w:bCs w:val="0"/>
          <w:kern w:val="2"/>
          <w:szCs w:val="24"/>
          <w:u w:color="000000"/>
          <w:lang w:val="zh-TW"/>
        </w:rPr>
        <w:t>“提升公共服务水平”指标：预期指标值为有效提升，实际完成指标值为有效提升，指标完成率为</w:t>
      </w:r>
      <w:r>
        <w:rPr>
          <w:rFonts w:hint="eastAsia" w:cs="仿宋_GB2312"/>
          <w:b w:val="0"/>
          <w:bCs w:val="0"/>
          <w:kern w:val="2"/>
          <w:szCs w:val="24"/>
          <w:u w:color="000000"/>
        </w:rPr>
        <w:t>100</w:t>
      </w:r>
      <w:r>
        <w:rPr>
          <w:rFonts w:hint="eastAsia" w:cs="仿宋_GB2312"/>
          <w:b w:val="0"/>
          <w:bCs w:val="0"/>
          <w:kern w:val="2"/>
          <w:szCs w:val="24"/>
          <w:u w:color="000000"/>
          <w:lang w:val="zh-TW"/>
        </w:rPr>
        <w:t>%。</w:t>
      </w:r>
    </w:p>
    <w:p w14:paraId="36887161">
      <w:pPr>
        <w:pStyle w:val="2"/>
        <w:ind w:firstLine="562"/>
      </w:pPr>
      <w:r>
        <w:rPr>
          <w:rFonts w:hint="eastAsia"/>
        </w:rPr>
        <w:t>3.生态效益完成情况分析</w:t>
      </w:r>
    </w:p>
    <w:p w14:paraId="49756296">
      <w:pPr>
        <w:pStyle w:val="2"/>
        <w:ind w:firstLine="560"/>
        <w:rPr>
          <w:rFonts w:cs="仿宋_GB2312"/>
          <w:b w:val="0"/>
          <w:bCs w:val="0"/>
          <w:kern w:val="2"/>
          <w:szCs w:val="24"/>
          <w:u w:color="000000"/>
          <w:lang w:val="zh-TW"/>
        </w:rPr>
      </w:pPr>
      <w:r>
        <w:rPr>
          <w:rFonts w:hint="eastAsia" w:cs="仿宋_GB2312"/>
          <w:b w:val="0"/>
          <w:bCs w:val="0"/>
          <w:kern w:val="2"/>
          <w:szCs w:val="24"/>
          <w:u w:color="000000"/>
          <w:lang w:val="zh-TW"/>
        </w:rPr>
        <w:t>“</w:t>
      </w:r>
      <w:r>
        <w:rPr>
          <w:rFonts w:hint="eastAsia" w:cs="仿宋_GB2312"/>
          <w:b w:val="0"/>
          <w:bCs w:val="0"/>
          <w:kern w:val="2"/>
          <w:szCs w:val="24"/>
          <w:u w:color="000000"/>
        </w:rPr>
        <w:t>无此类指标</w:t>
      </w:r>
      <w:r>
        <w:rPr>
          <w:rFonts w:hint="eastAsia" w:cs="仿宋_GB2312"/>
          <w:b w:val="0"/>
          <w:bCs w:val="0"/>
          <w:kern w:val="2"/>
          <w:szCs w:val="24"/>
          <w:u w:color="000000"/>
          <w:lang w:val="zh-TW"/>
        </w:rPr>
        <w:t>”。</w:t>
      </w:r>
    </w:p>
    <w:p w14:paraId="39DBB858">
      <w:pPr>
        <w:pStyle w:val="2"/>
        <w:ind w:firstLine="562"/>
      </w:pPr>
      <w:r>
        <w:rPr>
          <w:rFonts w:hint="eastAsia"/>
        </w:rPr>
        <w:t>4.可持续影响完成情况分析</w:t>
      </w:r>
    </w:p>
    <w:p w14:paraId="21B342B9">
      <w:pPr>
        <w:ind w:firstLine="560"/>
      </w:pPr>
      <w:r>
        <w:rPr>
          <w:rFonts w:hint="eastAsia" w:cs="仿宋_GB2312"/>
          <w:u w:color="000000"/>
          <w:lang w:val="zh-TW"/>
        </w:rPr>
        <w:t>“保障县级配套衔接资金项目顺利运行”指标：预期指标值为持续保障，实际完成指标值为持续保障，指标完成率为</w:t>
      </w:r>
      <w:r>
        <w:rPr>
          <w:rFonts w:hint="eastAsia" w:cs="仿宋_GB2312"/>
          <w:u w:color="000000"/>
        </w:rPr>
        <w:t>100</w:t>
      </w:r>
      <w:r>
        <w:rPr>
          <w:rFonts w:hint="eastAsia" w:cs="仿宋_GB2312"/>
          <w:u w:color="000000"/>
          <w:lang w:val="zh-TW"/>
        </w:rPr>
        <w:t>%。</w:t>
      </w:r>
    </w:p>
    <w:p w14:paraId="083B57F3">
      <w:pPr>
        <w:pStyle w:val="2"/>
        <w:ind w:firstLine="562"/>
      </w:pPr>
      <w:r>
        <w:rPr>
          <w:rFonts w:hint="eastAsia"/>
        </w:rPr>
        <w:t>5.满意度指标完成情况分析</w:t>
      </w:r>
    </w:p>
    <w:p w14:paraId="4784C30F">
      <w:pPr>
        <w:ind w:firstLine="560"/>
        <w:rPr>
          <w:rFonts w:cs="仿宋_GB2312"/>
          <w:u w:color="000000"/>
          <w:lang w:val="zh-TW"/>
        </w:rPr>
      </w:pPr>
      <w:r>
        <w:rPr>
          <w:rFonts w:hint="eastAsia" w:cs="仿宋_GB2312"/>
          <w:u w:color="000000"/>
          <w:lang w:val="zh-TW"/>
        </w:rPr>
        <w:t>“受益乡镇满意度”指标：预期指标值为≥95%，实际完成指标值为</w:t>
      </w:r>
      <w:r>
        <w:rPr>
          <w:rFonts w:hint="eastAsia" w:cs="仿宋_GB2312"/>
          <w:u w:color="000000"/>
        </w:rPr>
        <w:t>100%</w:t>
      </w:r>
      <w:r>
        <w:rPr>
          <w:rFonts w:hint="eastAsia" w:cs="仿宋_GB2312"/>
          <w:u w:color="000000"/>
          <w:lang w:val="zh-TW"/>
        </w:rPr>
        <w:t>，指标完成率为</w:t>
      </w:r>
      <w:r>
        <w:rPr>
          <w:rFonts w:hint="eastAsia" w:cs="仿宋_GB2312"/>
          <w:u w:color="000000"/>
        </w:rPr>
        <w:t>100</w:t>
      </w:r>
      <w:r>
        <w:rPr>
          <w:rFonts w:hint="eastAsia" w:cs="仿宋_GB2312"/>
          <w:u w:color="000000"/>
          <w:lang w:val="zh-TW"/>
        </w:rPr>
        <w:t>%。</w:t>
      </w:r>
    </w:p>
    <w:p w14:paraId="6622F27F">
      <w:pPr>
        <w:ind w:firstLine="560"/>
      </w:pPr>
      <w:r>
        <w:rPr>
          <w:rFonts w:hint="eastAsia"/>
        </w:rPr>
        <w:t>“受益群众满意度”指标：预期指标值为≥95%，实际完成指标值为100%，指标完成率为100%。</w:t>
      </w:r>
    </w:p>
    <w:p w14:paraId="67C6139F">
      <w:pPr>
        <w:pStyle w:val="3"/>
        <w:ind w:firstLine="643"/>
      </w:pPr>
      <w:r>
        <w:rPr>
          <w:rFonts w:hint="eastAsia"/>
        </w:rPr>
        <w:t>五、预算执行进度与绩效指标偏差</w:t>
      </w:r>
    </w:p>
    <w:p w14:paraId="1CC56F91">
      <w:pPr>
        <w:ind w:firstLine="560"/>
      </w:pPr>
      <w:r>
        <w:rPr>
          <w:rFonts w:hint="eastAsia"/>
        </w:rPr>
        <w:t>本项目年初预算资金总额为133万元，全年预算数为133万元，全年执行数为133万元，预算执行率为100%。</w:t>
      </w:r>
    </w:p>
    <w:p w14:paraId="27E3AE01">
      <w:pPr>
        <w:ind w:firstLine="560"/>
      </w:pPr>
      <w:r>
        <w:rPr>
          <w:rFonts w:hint="eastAsia"/>
        </w:rPr>
        <w:t>本</w:t>
      </w:r>
      <w:r>
        <w:rPr>
          <w:rFonts w:hint="eastAsia"/>
          <w:lang w:val="zh-TW" w:eastAsia="zh-TW"/>
        </w:rPr>
        <w:t>项目共设置</w:t>
      </w:r>
      <w:r>
        <w:rPr>
          <w:rFonts w:hint="eastAsia"/>
        </w:rPr>
        <w:t>三级指标数量22</w:t>
      </w:r>
      <w:r>
        <w:rPr>
          <w:rFonts w:hint="eastAsia"/>
          <w:lang w:val="zh-TW" w:eastAsia="zh-TW"/>
        </w:rPr>
        <w:t>个，</w:t>
      </w:r>
      <w:r>
        <w:rPr>
          <w:rFonts w:hint="eastAsia"/>
          <w:lang w:val="zh-TW"/>
        </w:rPr>
        <w:t>满分指标数量</w:t>
      </w:r>
      <w:r>
        <w:rPr>
          <w:rFonts w:hint="eastAsia"/>
        </w:rPr>
        <w:t>22个，扣分指标数量0个，经分析计算所有三级指标完成率得出，本项目总体完成率为100</w:t>
      </w:r>
      <w:r>
        <w:rPr>
          <w:rFonts w:hint="eastAsia"/>
          <w:lang w:val="zh-TW" w:eastAsia="zh-TW"/>
        </w:rPr>
        <w:t>%。</w:t>
      </w:r>
    </w:p>
    <w:p w14:paraId="569A40AC">
      <w:pPr>
        <w:ind w:firstLine="560"/>
      </w:pPr>
      <w:r>
        <w:rPr>
          <w:rFonts w:hint="eastAsia"/>
        </w:rPr>
        <w:t>综上所述本项目预算执行率与总体完成率之间的偏差为0%。</w:t>
      </w:r>
    </w:p>
    <w:p w14:paraId="01ED7814">
      <w:pPr>
        <w:pStyle w:val="3"/>
        <w:ind w:firstLine="643"/>
      </w:pPr>
      <w:r>
        <w:rPr>
          <w:rFonts w:hint="eastAsia"/>
        </w:rPr>
        <w:t>六、主要经验及做法、存在的问题及原因分析</w:t>
      </w:r>
    </w:p>
    <w:p w14:paraId="7ABCEBEB">
      <w:pPr>
        <w:pStyle w:val="4"/>
        <w:numPr>
          <w:ilvl w:val="0"/>
          <w:numId w:val="4"/>
        </w:numPr>
        <w:ind w:firstLine="643"/>
      </w:pPr>
      <w:bookmarkStart w:id="12" w:name="_Toc1921"/>
      <w:bookmarkStart w:id="13" w:name="_Toc28290"/>
      <w:r>
        <w:rPr>
          <w:rFonts w:hint="eastAsia"/>
        </w:rPr>
        <w:t>主要经验及做法</w:t>
      </w:r>
    </w:p>
    <w:bookmarkEnd w:id="12"/>
    <w:bookmarkEnd w:id="13"/>
    <w:p w14:paraId="66E10FE2">
      <w:pPr>
        <w:pStyle w:val="10"/>
        <w:shd w:val="clear" w:color="auto" w:fill="FFFFFF"/>
        <w:spacing w:beforeAutospacing="0" w:afterAutospacing="0"/>
        <w:ind w:firstLine="560"/>
      </w:pPr>
      <w:r>
        <w:rPr>
          <w:rFonts w:hint="eastAsia"/>
          <w:kern w:val="2"/>
          <w:sz w:val="28"/>
        </w:rPr>
        <w:t>一是要有坚强的领导核心。管理者的核心位置、组织、管理、沟通及协调能力是极其重要的。拥有全局眼光、高屋建瓴的领导者，能在千头万绪中抓住要害，关注重点，又能对下充分授权，抓大放小。</w:t>
      </w:r>
    </w:p>
    <w:p w14:paraId="1CCC8C61">
      <w:pPr>
        <w:pStyle w:val="10"/>
        <w:shd w:val="clear" w:color="auto" w:fill="FFFFFF"/>
        <w:spacing w:beforeAutospacing="0" w:afterAutospacing="0"/>
        <w:ind w:firstLine="560"/>
        <w:rPr>
          <w:kern w:val="2"/>
          <w:sz w:val="28"/>
        </w:rPr>
      </w:pPr>
      <w:r>
        <w:rPr>
          <w:rFonts w:hint="eastAsia"/>
          <w:kern w:val="2"/>
          <w:sz w:val="28"/>
        </w:rPr>
        <w:t>二是项目立项准备充分。不论是战略规划中预定的项目，还是临时增加项目，都不能缺少立项环节。立项的主要工作就是可行性分析，大项目要反复论证、层层审批，遵循企业决策审批管理流程即可。小项目环节可以简化，但可不可行，要有数据分析，要权衡利弊得失。一个宗旨：这个项目要有利于企业目标的实现和价值增值。偏离这个宗旨的项目不予立项。</w:t>
      </w:r>
    </w:p>
    <w:p w14:paraId="4E336C2D">
      <w:pPr>
        <w:pStyle w:val="10"/>
        <w:widowControl/>
        <w:shd w:val="clear" w:color="auto" w:fill="FFFFFF"/>
        <w:spacing w:beforeAutospacing="0" w:afterAutospacing="0"/>
        <w:ind w:firstLine="560"/>
      </w:pPr>
      <w:r>
        <w:rPr>
          <w:rFonts w:hint="eastAsia"/>
          <w:kern w:val="2"/>
          <w:sz w:val="28"/>
        </w:rPr>
        <w:t>三是要谋划前瞻的管理策划。项目策划是整个项目管理的思想和灵魂，对整个项目管理具有战略性的指导意义。项目管理的内容非常广泛，如果没有系统的具有前瞻性的项目管理策划，遇事论事，必然会处处受制、造成盲目行事。</w:t>
      </w:r>
    </w:p>
    <w:p w14:paraId="585CC90A">
      <w:pPr>
        <w:pStyle w:val="4"/>
        <w:keepNext w:val="0"/>
        <w:keepLines w:val="0"/>
        <w:numPr>
          <w:ilvl w:val="0"/>
          <w:numId w:val="4"/>
        </w:numPr>
        <w:ind w:firstLine="643"/>
      </w:pPr>
      <w:r>
        <w:rPr>
          <w:rFonts w:hint="eastAsia"/>
        </w:rPr>
        <w:t>存在的问题及原因分析</w:t>
      </w:r>
    </w:p>
    <w:p w14:paraId="3731F105">
      <w:pPr>
        <w:numPr>
          <w:ilvl w:val="0"/>
          <w:numId w:val="5"/>
        </w:numPr>
        <w:ind w:firstLine="560"/>
      </w:pPr>
      <w:r>
        <w:rPr>
          <w:rFonts w:hint="eastAsia"/>
        </w:rPr>
        <w:t>对政策变化判断不准确不熟悉引发的项目立项、项目实施风险。项目立项阶段，需要对当地乡村振兴政策企业等政策相当熟悉，根据当地对乡村振兴项目和企业的具体政策对项目进行初期的研判，确定该项目符合的政策，找到立项的依据。如果对这一系列的政策不熟悉，很难找到项目立项的切入点。当地政策落实不到位也易引发风险。国家脱贫攻坚成功，乡村振兴伊始，政策的落地实施在各地的力度不同，导致相关人员对于一些新政策只是了解，而并不知道如何操作和执行。但是随着乡村振兴局的成立也意味着政府将投入更多的人力在乡村振兴项目上。企业政策、土地政策、城市规划政策、金融支持政策等每个具体的政策都将加大执行落实力度，对项目的正常有序的推进至关重要。</w:t>
      </w:r>
    </w:p>
    <w:p w14:paraId="4D66E603">
      <w:pPr>
        <w:pStyle w:val="2"/>
        <w:keepNext w:val="0"/>
        <w:keepLines w:val="0"/>
        <w:numPr>
          <w:ilvl w:val="0"/>
          <w:numId w:val="5"/>
        </w:numPr>
        <w:ind w:firstLine="560"/>
        <w:rPr>
          <w:b w:val="0"/>
          <w:bCs w:val="0"/>
          <w:kern w:val="2"/>
          <w:szCs w:val="24"/>
        </w:rPr>
      </w:pPr>
      <w:r>
        <w:rPr>
          <w:rFonts w:hint="eastAsia"/>
          <w:b w:val="0"/>
          <w:bCs w:val="0"/>
          <w:kern w:val="2"/>
          <w:szCs w:val="24"/>
        </w:rPr>
        <w:t>项目设计和管理风险。项目设计不仅要求设计师经验丰富、综合设计能力强，还要求其具有高度的商业敏感性，熟悉产业设施开发及运营规律。同时，在规划建设过程中设计不严谨、设计变更的隐患有可能导致工期延长，对造成影响，造成建筑材料以及人工成本的增加都，甚至还会延误工期，存在一定的风险。另外工序统筹、人力物力分配等管理工作也会影响项目的周期，项目周期越长，资金使用成本越高，而且该项目是政策性很强的项目，有些政策有时效性，项目过于拖拉，一旦政策有变化会增加很多不确定性，增加项目风险。</w:t>
      </w:r>
    </w:p>
    <w:p w14:paraId="6B95D96B">
      <w:pPr>
        <w:pStyle w:val="3"/>
        <w:keepNext w:val="0"/>
        <w:keepLines w:val="0"/>
        <w:ind w:firstLine="643"/>
      </w:pPr>
      <w:r>
        <w:rPr>
          <w:rFonts w:hint="eastAsia"/>
        </w:rPr>
        <w:t>七、有关建议</w:t>
      </w:r>
    </w:p>
    <w:p w14:paraId="45BE2A0D">
      <w:pPr>
        <w:pStyle w:val="3"/>
        <w:keepNext w:val="0"/>
        <w:keepLines w:val="0"/>
        <w:ind w:firstLine="560"/>
        <w:rPr>
          <w:rFonts w:ascii="仿宋_GB2312" w:hAnsi="仿宋_GB2312" w:eastAsia="仿宋_GB2312"/>
          <w:b w:val="0"/>
          <w:kern w:val="2"/>
          <w:sz w:val="28"/>
          <w:szCs w:val="24"/>
        </w:rPr>
      </w:pPr>
      <w:r>
        <w:rPr>
          <w:rFonts w:hint="eastAsia" w:ascii="仿宋_GB2312" w:hAnsi="仿宋_GB2312" w:eastAsia="仿宋_GB2312"/>
          <w:b w:val="0"/>
          <w:kern w:val="2"/>
          <w:sz w:val="28"/>
          <w:szCs w:val="24"/>
        </w:rPr>
        <w:t>（一）加强与政策方面专家的沟通和成立项目小组。加强与专家的沟通，正确解读政策的含义，确保项目立项有依据，后期的开工手续等一系列证件办理顺利。成立项目小组，开展政策研究，提高对政策的熟悉度，把握政策的变化情况。</w:t>
      </w:r>
    </w:p>
    <w:p w14:paraId="3B8FD979">
      <w:pPr>
        <w:pStyle w:val="3"/>
        <w:keepNext w:val="0"/>
        <w:keepLines w:val="0"/>
        <w:ind w:firstLine="560"/>
        <w:rPr>
          <w:rFonts w:ascii="仿宋_GB2312" w:hAnsi="仿宋_GB2312" w:eastAsia="仿宋_GB2312"/>
          <w:b w:val="0"/>
          <w:kern w:val="2"/>
          <w:sz w:val="28"/>
          <w:szCs w:val="24"/>
        </w:rPr>
      </w:pPr>
      <w:r>
        <w:rPr>
          <w:rFonts w:hint="eastAsia" w:ascii="仿宋_GB2312" w:hAnsi="仿宋_GB2312" w:eastAsia="仿宋_GB2312"/>
          <w:b w:val="0"/>
          <w:kern w:val="2"/>
          <w:sz w:val="28"/>
          <w:szCs w:val="24"/>
        </w:rPr>
        <w:t>（二）调研相同政策下的其他地区项目，吸取宝贵经验，并且经常与当地政策落实部门进行沟通，确保政策在当地的落实情况。与当地有关部门如乡村振兴局、规划局、土地局等部门紧密联系，时刻关注有关政策的调整方向。对项目参与团队的技术水平进行严格的审查调研，预防风险的发生。同时参与项目组织管理的负责人团队也必须具备很强的综合素质，本项目是一个综合型的项目，需要懂乡村振兴产业振兴规划又需要懂金融投资，还需要懂得项目经营管理的复合型人才。随着项目产业的日渐成熟，综合性人才的需求量加大，对行业精英的培养也显的愈加迫切。</w:t>
      </w:r>
    </w:p>
    <w:p w14:paraId="3F3CBEA5">
      <w:pPr>
        <w:pStyle w:val="3"/>
        <w:ind w:firstLine="643"/>
      </w:pPr>
      <w:r>
        <w:rPr>
          <w:rFonts w:hint="eastAsia"/>
        </w:rPr>
        <w:t>八、其他需要说明的问题</w:t>
      </w:r>
    </w:p>
    <w:p w14:paraId="2B3449CD">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14:paraId="0504F78A">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14:paraId="04B7FDDE">
      <w:pPr>
        <w:ind w:firstLine="560"/>
      </w:pPr>
      <w:r>
        <w:rPr>
          <w:rFonts w:hint="eastAsia"/>
        </w:rPr>
        <w:t>（三）评价结果分别编入政府决算和部门预算，报送本级人民代表大会常务委员会，并依法予以公开。</w:t>
      </w:r>
    </w:p>
    <w:p w14:paraId="322A1417">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FC46D6C">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5"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5FEDB">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402086">
                          <w:pPr>
                            <w:pStyle w:val="8"/>
                            <w:ind w:firstLine="360"/>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0402086">
                    <w:pPr>
                      <w:pStyle w:val="8"/>
                      <w:ind w:firstLine="360"/>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8E3D3DA"/>
    <w:multiLevelType w:val="singleLevel"/>
    <w:tmpl w:val="A8E3D3DA"/>
    <w:lvl w:ilvl="0" w:tentative="0">
      <w:start w:val="1"/>
      <w:numFmt w:val="chineseCounting"/>
      <w:suff w:val="nothing"/>
      <w:lvlText w:val="第%1，"/>
      <w:lvlJc w:val="left"/>
      <w:rPr>
        <w:rFonts w:hint="eastAsia"/>
        <w:b w:val="0"/>
        <w:bCs w:val="0"/>
      </w:r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hNjI1MTE2MjcwNzhiZTRjMjFkZjExZjVmNjlkZGMifQ=="/>
    <w:docVar w:name="KSO_WPS_MARK_KEY" w:val="8476423a-719f-4fad-875b-f1bc3df17c40"/>
  </w:docVars>
  <w:rsids>
    <w:rsidRoot w:val="68291A1A"/>
    <w:rsid w:val="001C088B"/>
    <w:rsid w:val="00264E69"/>
    <w:rsid w:val="00272D23"/>
    <w:rsid w:val="003B251F"/>
    <w:rsid w:val="004715F9"/>
    <w:rsid w:val="00487272"/>
    <w:rsid w:val="005B0BBF"/>
    <w:rsid w:val="00885A15"/>
    <w:rsid w:val="00A37D4C"/>
    <w:rsid w:val="00A43D0F"/>
    <w:rsid w:val="00A83364"/>
    <w:rsid w:val="00AE2F59"/>
    <w:rsid w:val="00AF25B6"/>
    <w:rsid w:val="00B354A2"/>
    <w:rsid w:val="00C244FB"/>
    <w:rsid w:val="00DA0BA5"/>
    <w:rsid w:val="00E01AC9"/>
    <w:rsid w:val="00E304D5"/>
    <w:rsid w:val="00EC4605"/>
    <w:rsid w:val="00F77FAE"/>
    <w:rsid w:val="00FB5B81"/>
    <w:rsid w:val="00FE2E85"/>
    <w:rsid w:val="01210E75"/>
    <w:rsid w:val="019B1CBB"/>
    <w:rsid w:val="01E925F2"/>
    <w:rsid w:val="02E35293"/>
    <w:rsid w:val="043301E4"/>
    <w:rsid w:val="04BE5FB8"/>
    <w:rsid w:val="04FF572D"/>
    <w:rsid w:val="05321C8A"/>
    <w:rsid w:val="05614B95"/>
    <w:rsid w:val="057078DC"/>
    <w:rsid w:val="066F70AA"/>
    <w:rsid w:val="06C320B5"/>
    <w:rsid w:val="070B125C"/>
    <w:rsid w:val="073F0F06"/>
    <w:rsid w:val="07D94EB6"/>
    <w:rsid w:val="08082393"/>
    <w:rsid w:val="08517143"/>
    <w:rsid w:val="088A4403"/>
    <w:rsid w:val="08AB0FE8"/>
    <w:rsid w:val="09217736"/>
    <w:rsid w:val="09594501"/>
    <w:rsid w:val="09722ECD"/>
    <w:rsid w:val="099C619C"/>
    <w:rsid w:val="099D6902"/>
    <w:rsid w:val="099E3CC2"/>
    <w:rsid w:val="09C0632E"/>
    <w:rsid w:val="09C41DED"/>
    <w:rsid w:val="0A1413D7"/>
    <w:rsid w:val="0A401CF1"/>
    <w:rsid w:val="0A4323A1"/>
    <w:rsid w:val="0A546A76"/>
    <w:rsid w:val="0AB72EB7"/>
    <w:rsid w:val="0AD64679"/>
    <w:rsid w:val="0AE20526"/>
    <w:rsid w:val="0BFC5617"/>
    <w:rsid w:val="0C3C499F"/>
    <w:rsid w:val="0CB042E9"/>
    <w:rsid w:val="0CBC373B"/>
    <w:rsid w:val="0CF14A50"/>
    <w:rsid w:val="0D537DC9"/>
    <w:rsid w:val="0D885E3E"/>
    <w:rsid w:val="0E3771A3"/>
    <w:rsid w:val="0E760F4E"/>
    <w:rsid w:val="0F0555FE"/>
    <w:rsid w:val="0F563291"/>
    <w:rsid w:val="0F9F0794"/>
    <w:rsid w:val="10101691"/>
    <w:rsid w:val="106B68C8"/>
    <w:rsid w:val="1092654A"/>
    <w:rsid w:val="10946E0E"/>
    <w:rsid w:val="10AF0EAA"/>
    <w:rsid w:val="1103023A"/>
    <w:rsid w:val="11162CD7"/>
    <w:rsid w:val="11614C8D"/>
    <w:rsid w:val="118C0775"/>
    <w:rsid w:val="11963E18"/>
    <w:rsid w:val="11A264BB"/>
    <w:rsid w:val="11B761D9"/>
    <w:rsid w:val="121B314B"/>
    <w:rsid w:val="128D0D77"/>
    <w:rsid w:val="12F1313F"/>
    <w:rsid w:val="12F14E6F"/>
    <w:rsid w:val="1374267F"/>
    <w:rsid w:val="13B62550"/>
    <w:rsid w:val="13E33F40"/>
    <w:rsid w:val="15632263"/>
    <w:rsid w:val="15D55DE5"/>
    <w:rsid w:val="1609105D"/>
    <w:rsid w:val="163877DC"/>
    <w:rsid w:val="16A8172F"/>
    <w:rsid w:val="16ED396B"/>
    <w:rsid w:val="175A16F5"/>
    <w:rsid w:val="17AF7810"/>
    <w:rsid w:val="17CD5C17"/>
    <w:rsid w:val="17F71FD7"/>
    <w:rsid w:val="180A4C18"/>
    <w:rsid w:val="18354B4A"/>
    <w:rsid w:val="184243B2"/>
    <w:rsid w:val="188B5886"/>
    <w:rsid w:val="18BD1C8B"/>
    <w:rsid w:val="18FD322B"/>
    <w:rsid w:val="190F698A"/>
    <w:rsid w:val="191E6B8A"/>
    <w:rsid w:val="19410B0E"/>
    <w:rsid w:val="19E81540"/>
    <w:rsid w:val="1A041D47"/>
    <w:rsid w:val="1A534805"/>
    <w:rsid w:val="1B1A4EED"/>
    <w:rsid w:val="1B375D24"/>
    <w:rsid w:val="1B6034CD"/>
    <w:rsid w:val="1B7900EB"/>
    <w:rsid w:val="1BB37FCD"/>
    <w:rsid w:val="1BB455C7"/>
    <w:rsid w:val="1BD23C9F"/>
    <w:rsid w:val="1BEA0FE8"/>
    <w:rsid w:val="1BF30919"/>
    <w:rsid w:val="1BFB2DBE"/>
    <w:rsid w:val="1C4249B9"/>
    <w:rsid w:val="1C4A596B"/>
    <w:rsid w:val="1C5020B1"/>
    <w:rsid w:val="1C737230"/>
    <w:rsid w:val="1CB00289"/>
    <w:rsid w:val="1D0D31E0"/>
    <w:rsid w:val="1D951428"/>
    <w:rsid w:val="1DE30357"/>
    <w:rsid w:val="1E272553"/>
    <w:rsid w:val="1E8A6AB3"/>
    <w:rsid w:val="1F3F789D"/>
    <w:rsid w:val="1F572E39"/>
    <w:rsid w:val="1F641A50"/>
    <w:rsid w:val="1F7532BF"/>
    <w:rsid w:val="1FCA53B9"/>
    <w:rsid w:val="20191E9C"/>
    <w:rsid w:val="20280331"/>
    <w:rsid w:val="20303452"/>
    <w:rsid w:val="204213F3"/>
    <w:rsid w:val="205630F0"/>
    <w:rsid w:val="20A0788B"/>
    <w:rsid w:val="20A32962"/>
    <w:rsid w:val="20B21A37"/>
    <w:rsid w:val="212252C2"/>
    <w:rsid w:val="21A41209"/>
    <w:rsid w:val="21EF08CD"/>
    <w:rsid w:val="220964A4"/>
    <w:rsid w:val="23395844"/>
    <w:rsid w:val="23C87E61"/>
    <w:rsid w:val="23C93BD9"/>
    <w:rsid w:val="23CC3C7A"/>
    <w:rsid w:val="240370EB"/>
    <w:rsid w:val="24304A29"/>
    <w:rsid w:val="245E1E24"/>
    <w:rsid w:val="248F6BD1"/>
    <w:rsid w:val="24C50845"/>
    <w:rsid w:val="256845EA"/>
    <w:rsid w:val="258458A4"/>
    <w:rsid w:val="25F35B51"/>
    <w:rsid w:val="269A6208"/>
    <w:rsid w:val="269E759F"/>
    <w:rsid w:val="26EF3957"/>
    <w:rsid w:val="27075144"/>
    <w:rsid w:val="27220ADA"/>
    <w:rsid w:val="27BA0293"/>
    <w:rsid w:val="27CB7B5F"/>
    <w:rsid w:val="27FB6DFA"/>
    <w:rsid w:val="285A5748"/>
    <w:rsid w:val="29116471"/>
    <w:rsid w:val="29304E8A"/>
    <w:rsid w:val="29673C78"/>
    <w:rsid w:val="29A80DCF"/>
    <w:rsid w:val="29F811FD"/>
    <w:rsid w:val="2A053F0F"/>
    <w:rsid w:val="2A0C569A"/>
    <w:rsid w:val="2A1E2702"/>
    <w:rsid w:val="2A5C3075"/>
    <w:rsid w:val="2A6212B4"/>
    <w:rsid w:val="2A6424F3"/>
    <w:rsid w:val="2A683A9F"/>
    <w:rsid w:val="2A790107"/>
    <w:rsid w:val="2AD96DF8"/>
    <w:rsid w:val="2AFA0B1C"/>
    <w:rsid w:val="2B1F5779"/>
    <w:rsid w:val="2B367DA6"/>
    <w:rsid w:val="2BEE68D3"/>
    <w:rsid w:val="2C103347"/>
    <w:rsid w:val="2C2103E4"/>
    <w:rsid w:val="2C6646BB"/>
    <w:rsid w:val="2C6C77F8"/>
    <w:rsid w:val="2C8132A3"/>
    <w:rsid w:val="2CB501F8"/>
    <w:rsid w:val="2CF75704"/>
    <w:rsid w:val="2D0143E4"/>
    <w:rsid w:val="2D18563E"/>
    <w:rsid w:val="2D340315"/>
    <w:rsid w:val="2D8656EA"/>
    <w:rsid w:val="2DF66ED3"/>
    <w:rsid w:val="2DFA2E97"/>
    <w:rsid w:val="2E1D524D"/>
    <w:rsid w:val="2E483E7E"/>
    <w:rsid w:val="2EEE2746"/>
    <w:rsid w:val="2F0D52C2"/>
    <w:rsid w:val="2FCE2953"/>
    <w:rsid w:val="2FDE37A9"/>
    <w:rsid w:val="30073ABF"/>
    <w:rsid w:val="30826BB0"/>
    <w:rsid w:val="309612E7"/>
    <w:rsid w:val="30963095"/>
    <w:rsid w:val="315B7BD0"/>
    <w:rsid w:val="31E542D4"/>
    <w:rsid w:val="31F53290"/>
    <w:rsid w:val="329C283E"/>
    <w:rsid w:val="329D78A9"/>
    <w:rsid w:val="32FD0B81"/>
    <w:rsid w:val="332F7DDD"/>
    <w:rsid w:val="33362BB6"/>
    <w:rsid w:val="33727E29"/>
    <w:rsid w:val="337538C8"/>
    <w:rsid w:val="33833DA5"/>
    <w:rsid w:val="33944516"/>
    <w:rsid w:val="33FE342B"/>
    <w:rsid w:val="34030A42"/>
    <w:rsid w:val="34215F43"/>
    <w:rsid w:val="343A05E5"/>
    <w:rsid w:val="34E358EF"/>
    <w:rsid w:val="34EB636F"/>
    <w:rsid w:val="35057192"/>
    <w:rsid w:val="35134CB4"/>
    <w:rsid w:val="3522787D"/>
    <w:rsid w:val="3560238A"/>
    <w:rsid w:val="35B034A3"/>
    <w:rsid w:val="36073DA0"/>
    <w:rsid w:val="36185B49"/>
    <w:rsid w:val="362A675A"/>
    <w:rsid w:val="36945576"/>
    <w:rsid w:val="36D349A9"/>
    <w:rsid w:val="371247DC"/>
    <w:rsid w:val="37397DA9"/>
    <w:rsid w:val="37847F8D"/>
    <w:rsid w:val="37CF0C63"/>
    <w:rsid w:val="381C53BF"/>
    <w:rsid w:val="38A93C96"/>
    <w:rsid w:val="38B467AE"/>
    <w:rsid w:val="38B90269"/>
    <w:rsid w:val="38C073F1"/>
    <w:rsid w:val="38CC7587"/>
    <w:rsid w:val="391A1457"/>
    <w:rsid w:val="39BF0D81"/>
    <w:rsid w:val="39D67A87"/>
    <w:rsid w:val="3A184B1B"/>
    <w:rsid w:val="3A2557CE"/>
    <w:rsid w:val="3A9E408B"/>
    <w:rsid w:val="3AA34D2C"/>
    <w:rsid w:val="3AE40AB5"/>
    <w:rsid w:val="3B3573C0"/>
    <w:rsid w:val="3B8E2050"/>
    <w:rsid w:val="3BB84807"/>
    <w:rsid w:val="3C494A2A"/>
    <w:rsid w:val="3C591B47"/>
    <w:rsid w:val="3CF3094E"/>
    <w:rsid w:val="3D522C3F"/>
    <w:rsid w:val="3DA94408"/>
    <w:rsid w:val="3DB22812"/>
    <w:rsid w:val="3DC6320C"/>
    <w:rsid w:val="3E31650F"/>
    <w:rsid w:val="3E7F33BB"/>
    <w:rsid w:val="3ED454B4"/>
    <w:rsid w:val="3F344921"/>
    <w:rsid w:val="3FEF3AE9"/>
    <w:rsid w:val="40141A67"/>
    <w:rsid w:val="402112BD"/>
    <w:rsid w:val="40970E8F"/>
    <w:rsid w:val="40BC3F95"/>
    <w:rsid w:val="40CD665F"/>
    <w:rsid w:val="40FF07E3"/>
    <w:rsid w:val="413E2617"/>
    <w:rsid w:val="422B5D33"/>
    <w:rsid w:val="42B42F14"/>
    <w:rsid w:val="42C27D1A"/>
    <w:rsid w:val="43EA2D93"/>
    <w:rsid w:val="446A2417"/>
    <w:rsid w:val="44AA6D2D"/>
    <w:rsid w:val="44BA514C"/>
    <w:rsid w:val="4500193B"/>
    <w:rsid w:val="45232CF2"/>
    <w:rsid w:val="453453BA"/>
    <w:rsid w:val="456A6B72"/>
    <w:rsid w:val="45AC0F39"/>
    <w:rsid w:val="45B859B9"/>
    <w:rsid w:val="46861269"/>
    <w:rsid w:val="468A0B4E"/>
    <w:rsid w:val="46CC5899"/>
    <w:rsid w:val="46D0054F"/>
    <w:rsid w:val="473016F6"/>
    <w:rsid w:val="47CA56A6"/>
    <w:rsid w:val="495B1167"/>
    <w:rsid w:val="49B87A2D"/>
    <w:rsid w:val="49DF11B1"/>
    <w:rsid w:val="4A02381D"/>
    <w:rsid w:val="4A1E40B4"/>
    <w:rsid w:val="4A94466D"/>
    <w:rsid w:val="4A996944"/>
    <w:rsid w:val="4AA735E3"/>
    <w:rsid w:val="4AE57050"/>
    <w:rsid w:val="4B545786"/>
    <w:rsid w:val="4B5C39C5"/>
    <w:rsid w:val="4B841923"/>
    <w:rsid w:val="4B8E6AC5"/>
    <w:rsid w:val="4C1F46E3"/>
    <w:rsid w:val="4C3216AC"/>
    <w:rsid w:val="4C602A7D"/>
    <w:rsid w:val="4CC36B68"/>
    <w:rsid w:val="4D227A97"/>
    <w:rsid w:val="4D2E2B7B"/>
    <w:rsid w:val="4D3F2693"/>
    <w:rsid w:val="4D714816"/>
    <w:rsid w:val="4E4A6D47"/>
    <w:rsid w:val="4EC15329"/>
    <w:rsid w:val="4F733A2D"/>
    <w:rsid w:val="4FB67747"/>
    <w:rsid w:val="4FD56C07"/>
    <w:rsid w:val="4FFD05E3"/>
    <w:rsid w:val="506B1A13"/>
    <w:rsid w:val="50AF18DD"/>
    <w:rsid w:val="50D940D4"/>
    <w:rsid w:val="50FE4613"/>
    <w:rsid w:val="511FF2A1"/>
    <w:rsid w:val="51956D25"/>
    <w:rsid w:val="519B00B4"/>
    <w:rsid w:val="51C5066C"/>
    <w:rsid w:val="523D7289"/>
    <w:rsid w:val="52693BB6"/>
    <w:rsid w:val="5296536E"/>
    <w:rsid w:val="531719BC"/>
    <w:rsid w:val="53975D96"/>
    <w:rsid w:val="53A37B21"/>
    <w:rsid w:val="54B814E6"/>
    <w:rsid w:val="54D20290"/>
    <w:rsid w:val="55464289"/>
    <w:rsid w:val="55A5494A"/>
    <w:rsid w:val="55C25875"/>
    <w:rsid w:val="55C93F97"/>
    <w:rsid w:val="56024E46"/>
    <w:rsid w:val="56137B3D"/>
    <w:rsid w:val="564B654C"/>
    <w:rsid w:val="56803BC3"/>
    <w:rsid w:val="56EB5639"/>
    <w:rsid w:val="56FD7960"/>
    <w:rsid w:val="5806777E"/>
    <w:rsid w:val="590A624B"/>
    <w:rsid w:val="5973534F"/>
    <w:rsid w:val="59945E9B"/>
    <w:rsid w:val="59C02DAD"/>
    <w:rsid w:val="59C363FA"/>
    <w:rsid w:val="59CA7788"/>
    <w:rsid w:val="5A0F7891"/>
    <w:rsid w:val="5A2C0443"/>
    <w:rsid w:val="5A637DDA"/>
    <w:rsid w:val="5A7B1DAF"/>
    <w:rsid w:val="5AA4622B"/>
    <w:rsid w:val="5AF736DB"/>
    <w:rsid w:val="5B1433B1"/>
    <w:rsid w:val="5B404D4C"/>
    <w:rsid w:val="5B4672E2"/>
    <w:rsid w:val="5C277114"/>
    <w:rsid w:val="5C321615"/>
    <w:rsid w:val="5C5E240A"/>
    <w:rsid w:val="5C734107"/>
    <w:rsid w:val="5CA73DB1"/>
    <w:rsid w:val="5CEB1EEF"/>
    <w:rsid w:val="5D465377"/>
    <w:rsid w:val="5D791413"/>
    <w:rsid w:val="5D8A5BAC"/>
    <w:rsid w:val="5DDC5CDC"/>
    <w:rsid w:val="5E0A0A9B"/>
    <w:rsid w:val="5E421FE3"/>
    <w:rsid w:val="5EA66A16"/>
    <w:rsid w:val="5ED2780B"/>
    <w:rsid w:val="5EF40936"/>
    <w:rsid w:val="5F4F0E5B"/>
    <w:rsid w:val="5F6E6E08"/>
    <w:rsid w:val="5F9C5101"/>
    <w:rsid w:val="60896115"/>
    <w:rsid w:val="61330441"/>
    <w:rsid w:val="6138147B"/>
    <w:rsid w:val="61477910"/>
    <w:rsid w:val="61722BDF"/>
    <w:rsid w:val="618129F7"/>
    <w:rsid w:val="619D39D4"/>
    <w:rsid w:val="61BC3E5A"/>
    <w:rsid w:val="626F3307"/>
    <w:rsid w:val="62BB6160"/>
    <w:rsid w:val="62DE363E"/>
    <w:rsid w:val="62E95123"/>
    <w:rsid w:val="62EE2619"/>
    <w:rsid w:val="63A4104A"/>
    <w:rsid w:val="63B40226"/>
    <w:rsid w:val="63D01E3F"/>
    <w:rsid w:val="64AC28AC"/>
    <w:rsid w:val="64F8164D"/>
    <w:rsid w:val="650906D7"/>
    <w:rsid w:val="651641C9"/>
    <w:rsid w:val="653A5570"/>
    <w:rsid w:val="6584156C"/>
    <w:rsid w:val="659473B6"/>
    <w:rsid w:val="65982F48"/>
    <w:rsid w:val="659E59BA"/>
    <w:rsid w:val="66C0619B"/>
    <w:rsid w:val="66F91E37"/>
    <w:rsid w:val="672B5465"/>
    <w:rsid w:val="67C7218E"/>
    <w:rsid w:val="68291A1A"/>
    <w:rsid w:val="685A50BD"/>
    <w:rsid w:val="685C1791"/>
    <w:rsid w:val="685F3791"/>
    <w:rsid w:val="687144A9"/>
    <w:rsid w:val="691B1594"/>
    <w:rsid w:val="693E0BF2"/>
    <w:rsid w:val="695E1C9B"/>
    <w:rsid w:val="697A2F79"/>
    <w:rsid w:val="69825DB9"/>
    <w:rsid w:val="69E46644"/>
    <w:rsid w:val="69F61ED3"/>
    <w:rsid w:val="6A0960AB"/>
    <w:rsid w:val="6A762C40"/>
    <w:rsid w:val="6AE54422"/>
    <w:rsid w:val="6B0D7E2F"/>
    <w:rsid w:val="6B2B3634"/>
    <w:rsid w:val="6B836525"/>
    <w:rsid w:val="6B930322"/>
    <w:rsid w:val="6CBF6EF4"/>
    <w:rsid w:val="6D251A3E"/>
    <w:rsid w:val="6D3E606B"/>
    <w:rsid w:val="6D664628"/>
    <w:rsid w:val="6DC52C52"/>
    <w:rsid w:val="6DD8201C"/>
    <w:rsid w:val="6E185C99"/>
    <w:rsid w:val="6E1A6997"/>
    <w:rsid w:val="6E781A51"/>
    <w:rsid w:val="6E7C32EF"/>
    <w:rsid w:val="6E7C509D"/>
    <w:rsid w:val="6E861244"/>
    <w:rsid w:val="6E875380"/>
    <w:rsid w:val="6EDC453B"/>
    <w:rsid w:val="6F0D6C22"/>
    <w:rsid w:val="6F0F5F11"/>
    <w:rsid w:val="6FA21A81"/>
    <w:rsid w:val="6FD45AC8"/>
    <w:rsid w:val="6FD57E76"/>
    <w:rsid w:val="6FF06988"/>
    <w:rsid w:val="709F1517"/>
    <w:rsid w:val="70C83E4B"/>
    <w:rsid w:val="70DA5D42"/>
    <w:rsid w:val="71801FA8"/>
    <w:rsid w:val="72123536"/>
    <w:rsid w:val="72604CD6"/>
    <w:rsid w:val="734C0DB6"/>
    <w:rsid w:val="73D55573"/>
    <w:rsid w:val="741D2E7E"/>
    <w:rsid w:val="74370315"/>
    <w:rsid w:val="745F5557"/>
    <w:rsid w:val="74AE41E5"/>
    <w:rsid w:val="74B60DFD"/>
    <w:rsid w:val="75201526"/>
    <w:rsid w:val="75E1612D"/>
    <w:rsid w:val="76116A13"/>
    <w:rsid w:val="76361FD5"/>
    <w:rsid w:val="76D2301A"/>
    <w:rsid w:val="774329A8"/>
    <w:rsid w:val="77560455"/>
    <w:rsid w:val="77861774"/>
    <w:rsid w:val="78063C29"/>
    <w:rsid w:val="788A750F"/>
    <w:rsid w:val="78DB50B6"/>
    <w:rsid w:val="79300B45"/>
    <w:rsid w:val="79310079"/>
    <w:rsid w:val="79557D81"/>
    <w:rsid w:val="79A17504"/>
    <w:rsid w:val="79BE065D"/>
    <w:rsid w:val="79DC24F9"/>
    <w:rsid w:val="79E91B50"/>
    <w:rsid w:val="79FF3433"/>
    <w:rsid w:val="7AAA71FF"/>
    <w:rsid w:val="7AB73395"/>
    <w:rsid w:val="7ABC1782"/>
    <w:rsid w:val="7AE2272C"/>
    <w:rsid w:val="7AE90861"/>
    <w:rsid w:val="7B686778"/>
    <w:rsid w:val="7B6E3FBF"/>
    <w:rsid w:val="7BA36566"/>
    <w:rsid w:val="7BA9149B"/>
    <w:rsid w:val="7BCE4A5E"/>
    <w:rsid w:val="7C4D654F"/>
    <w:rsid w:val="7CA103C5"/>
    <w:rsid w:val="7CC320E9"/>
    <w:rsid w:val="7D1B1F25"/>
    <w:rsid w:val="7E1448F8"/>
    <w:rsid w:val="7E584AB3"/>
    <w:rsid w:val="7E617414"/>
    <w:rsid w:val="7E725B75"/>
    <w:rsid w:val="7E837D82"/>
    <w:rsid w:val="7E8D404B"/>
    <w:rsid w:val="7EA56941"/>
    <w:rsid w:val="7EBE4A34"/>
    <w:rsid w:val="7EDC1B88"/>
    <w:rsid w:val="7F1B26B0"/>
    <w:rsid w:val="7F755A47"/>
    <w:rsid w:val="7FE02448"/>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qFormat/>
    <w:uiPriority w:val="0"/>
    <w:pPr>
      <w:spacing w:beforeAutospacing="1" w:afterAutospacing="1"/>
      <w:jc w:val="left"/>
    </w:pPr>
    <w:rPr>
      <w:kern w:val="0"/>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C8F1DC-043A-4EFC-8E72-3AF67D9799D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25</Pages>
  <Words>12775</Words>
  <Characters>13284</Characters>
  <Lines>95</Lines>
  <Paragraphs>26</Paragraphs>
  <TotalTime>100</TotalTime>
  <ScaleCrop>false</ScaleCrop>
  <LinksUpToDate>false</LinksUpToDate>
  <CharactersWithSpaces>13287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如果_见或不见</cp:lastModifiedBy>
  <dcterms:modified xsi:type="dcterms:W3CDTF">2024-08-14T04:17:58Z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48A9954A70FD430ABA41AE43CDE7E588</vt:lpwstr>
  </property>
</Properties>
</file>