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洛浦县恰尔巴格镇阔恰艾日克村乡村旅游提升改造建设项目支出绩效评价报告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项目名称：洛浦县恰尔巴格镇阔恰艾日克村乡村旅游提升改造建设项目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实施单位：洛浦县文化体育广播电视和旅游局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主管部门：洛浦县文化体育广播电视和旅游局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项目负责人：图尔贡·多来提</w:t>
      </w:r>
    </w:p>
    <w:p>
      <w:pPr>
        <w:spacing w:line="360" w:lineRule="auto"/>
        <w:ind w:left="840" w:leftChars="300" w:firstLine="0" w:firstLineChars="0"/>
        <w:rPr>
          <w:b/>
          <w:bCs/>
          <w:sz w:val="32"/>
          <w:szCs w:val="28"/>
        </w:rPr>
      </w:pPr>
      <w:r>
        <w:rPr>
          <w:rFonts w:hint="eastAsia" w:ascii="黑体" w:hAnsi="Times New Roman" w:eastAsia="黑体"/>
          <w:b/>
          <w:sz w:val="30"/>
          <w:szCs w:val="30"/>
        </w:rPr>
        <w:t>填报时间：2023年2月28日</w:t>
      </w:r>
    </w:p>
    <w:p>
      <w:pPr>
        <w:ind w:firstLine="0" w:firstLineChars="0"/>
        <w:jc w:val="center"/>
        <w:rPr>
          <w:b/>
          <w:bCs/>
          <w:sz w:val="36"/>
          <w:szCs w:val="32"/>
        </w:rPr>
      </w:pPr>
      <w:r>
        <w:rPr>
          <w:rFonts w:hint="eastAsia"/>
          <w:b/>
          <w:bCs/>
          <w:sz w:val="40"/>
          <w:szCs w:val="36"/>
        </w:rPr>
        <w:t>洛浦县恰尔巴格镇阔恰艾日克村乡村旅游提升改造建设项目支出绩效评价报告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rFonts w:hint="eastAsia"/>
        </w:rPr>
      </w:pPr>
      <w:r>
        <w:rPr>
          <w:rFonts w:hint="eastAsia"/>
        </w:rPr>
        <w:t>根据国务院《关于印发“十四五”旅游业发展规划的通知》国发〔2021〕32号和《关于印发《关于促进乡村旅游可持续发展的指导意见》的通知》文旅资源发〔2018〕98号文件要求，要实现巩固拓展脱贫攻坚成果同乡村振兴有效衔接。持续巩固拓展脱贫攻坚成果。接续推进脱贫地区乡村振兴。发展乡村旅游是实施乡村振兴战略的有效途径。乡村旅游发展不仅能给农民带来就业机会和经济收入，还能促进农业现代化发展，改善农村基础设施和生活环境，有利于一揽子解决‘三农’问题，促进乡村振兴。</w:t>
      </w:r>
    </w:p>
    <w:p>
      <w:pPr>
        <w:ind w:firstLine="560"/>
      </w:pPr>
      <w:r>
        <w:rPr>
          <w:rFonts w:hint="eastAsia"/>
        </w:rPr>
        <w:t>结合洛浦县恰尔巴格镇阔恰艾日克村的实际情况，为有效提升洛浦县恰尔巴格镇阔恰艾日克村的居住环境，打造有特色的乡村景观，提升阔恰艾日克村的旅游改造情况，特设立此项目。</w:t>
      </w:r>
      <w:r>
        <w:t xml:space="preserve"> </w:t>
      </w:r>
    </w:p>
    <w:p>
      <w:pPr>
        <w:pStyle w:val="2"/>
        <w:ind w:firstLine="562"/>
      </w:pPr>
      <w:r>
        <w:rPr>
          <w:rFonts w:hint="eastAsia"/>
        </w:rPr>
        <w:t>2.主要内容</w:t>
      </w:r>
    </w:p>
    <w:p>
      <w:pPr>
        <w:ind w:firstLine="560"/>
      </w:pPr>
      <w:r>
        <w:rPr>
          <w:rFonts w:hint="eastAsia"/>
        </w:rPr>
        <w:t>本项目实施主要内容为：改造</w:t>
      </w:r>
      <w:r>
        <w:t>15个大门，围墙改造255.42平方米，外墙改造8541.03平方米，内墙面改造面积4169.21平方米，屋面防雨斜屋面改造184.68平方米，卫生间改造面积19.5平方米，购置安装旅游厕所4个，于2022年5月开始，2023年4月结束，项目总投资234万元，其中工程费用127.19万元，其他费用22.99万元，采购费用80万元，基本预备费3.82万元。通过本项目的实施，项目设计使用年限50年，有效提升居住环境，打造有特色的乡村景观，持续提高洛浦县恰尔巴格镇阔恰艾日克村居住人口的居住环境，争取使受益群众</w:t>
      </w:r>
      <w:r>
        <w:rPr>
          <w:rFonts w:hint="eastAsia"/>
        </w:rPr>
        <w:t>满意度达到</w:t>
      </w:r>
      <w:r>
        <w:t>95%以上。</w:t>
      </w:r>
    </w:p>
    <w:p>
      <w:pPr>
        <w:pStyle w:val="2"/>
        <w:ind w:firstLine="562"/>
        <w:jc w:val="left"/>
      </w:pPr>
      <w:r>
        <w:rPr>
          <w:rFonts w:hint="eastAsia"/>
        </w:rPr>
        <w:t>3.实施情况</w:t>
      </w:r>
    </w:p>
    <w:p>
      <w:pPr>
        <w:ind w:firstLine="560"/>
        <w:jc w:val="left"/>
      </w:pPr>
      <w:r>
        <w:t>实施主体：</w:t>
      </w:r>
      <w:r>
        <w:rPr>
          <w:rFonts w:hint="eastAsia"/>
        </w:rPr>
        <w:t>洛浦县文化体育广播电视和旅游局</w:t>
      </w:r>
      <w:r>
        <w:t>。</w:t>
      </w:r>
    </w:p>
    <w:p>
      <w:pPr>
        <w:ind w:firstLine="560"/>
      </w:pPr>
      <w:r>
        <w:t>实施时间：</w:t>
      </w:r>
      <w:r>
        <w:rPr>
          <w:rFonts w:hint="eastAsia"/>
        </w:rPr>
        <w:t>本项目实施期限为2022年3月—2022年12月</w:t>
      </w:r>
      <w:r>
        <w:t>。</w:t>
      </w:r>
    </w:p>
    <w:p>
      <w:pPr>
        <w:ind w:firstLine="560"/>
      </w:pPr>
      <w:r>
        <w:t>实施</w:t>
      </w:r>
      <w:r>
        <w:rPr>
          <w:rFonts w:hint="eastAsia"/>
        </w:rPr>
        <w:t>情况</w:t>
      </w:r>
      <w:r>
        <w:t>：</w:t>
      </w:r>
      <w:r>
        <w:rPr>
          <w:rFonts w:hint="eastAsia"/>
        </w:rPr>
        <w:t>本项目于2022年5月立项，经过评审修改实施方案，询价发包等程序，于2022年7月开工，正式进入开工环节，2022年共计建设实物工程量累计220.36万元，完成了基础施工，基础验收，主体施工，主体验收等环节，截至2022年末，实物工作量合计完成220.36万元，完成当年投资计划及项目建设计划</w:t>
      </w:r>
      <w:r>
        <w:t>。</w:t>
      </w:r>
    </w:p>
    <w:p>
      <w:pPr>
        <w:pStyle w:val="2"/>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234万元</w:t>
      </w:r>
      <w:r>
        <w:t>，</w:t>
      </w:r>
      <w:r>
        <w:rPr>
          <w:rFonts w:hint="eastAsia"/>
        </w:rPr>
        <w:t>资金来源为本级部门预算（中央预算内资金），</w:t>
      </w:r>
      <w:r>
        <w:t>其中</w:t>
      </w:r>
      <w:r>
        <w:rPr>
          <w:rFonts w:hint="eastAsia"/>
        </w:rPr>
        <w:t>：</w:t>
      </w:r>
      <w:r>
        <w:t>财政资金</w:t>
      </w:r>
      <w:r>
        <w:rPr>
          <w:rFonts w:hint="eastAsia"/>
        </w:rPr>
        <w:t>234万元</w:t>
      </w:r>
      <w:r>
        <w:t>，其他资金</w:t>
      </w:r>
      <w:r>
        <w:rPr>
          <w:rFonts w:hint="eastAsia"/>
        </w:rPr>
        <w:t>0</w:t>
      </w:r>
      <w:r>
        <w:t>万元，</w:t>
      </w:r>
      <w:r>
        <w:rPr>
          <w:rFonts w:hint="eastAsia"/>
        </w:rPr>
        <w:t>2022年</w:t>
      </w:r>
      <w:r>
        <w:t>实际收到预算资金</w:t>
      </w:r>
      <w:r>
        <w:rPr>
          <w:rFonts w:hint="eastAsia"/>
        </w:rPr>
        <w:t>234万元</w:t>
      </w:r>
      <w:r>
        <w:t>，预算资金到位率为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本项目实际支付资金220.36万元，预算执行率100</w:t>
      </w:r>
      <w:r>
        <w:t>%</w:t>
      </w:r>
      <w:r>
        <w:rPr>
          <w:rFonts w:hint="eastAsia"/>
        </w:rPr>
        <w:t>，结转资金额度为13.64万元。本项目资金主要用于支付项目工程建设费用220.36万元。</w:t>
      </w:r>
    </w:p>
    <w:p>
      <w:pPr>
        <w:pStyle w:val="4"/>
        <w:numPr>
          <w:ilvl w:val="0"/>
          <w:numId w:val="1"/>
        </w:numPr>
        <w:ind w:firstLine="643"/>
      </w:pPr>
      <w:r>
        <w:rPr>
          <w:rFonts w:hint="eastAsia"/>
        </w:rPr>
        <w:t>项目绩效目标</w:t>
      </w:r>
    </w:p>
    <w:p>
      <w:pPr>
        <w:pStyle w:val="2"/>
        <w:ind w:firstLine="562"/>
      </w:pPr>
      <w:r>
        <w:rPr>
          <w:rFonts w:hint="eastAsia"/>
        </w:rPr>
        <w:t>1.总体目标</w:t>
      </w:r>
    </w:p>
    <w:p>
      <w:pPr>
        <w:ind w:firstLine="560"/>
      </w:pPr>
      <w:r>
        <w:rPr>
          <w:rFonts w:hint="eastAsia"/>
        </w:rPr>
        <w:t>本项目总体目标为：改造15个大门，围墙改造255.42平方米，外墙改造8541.03平方米，内墙面改造面积4169.21平方米，屋面防雨斜屋面改造184.68平方米，卫生间改造面积19.5平方米，购置安装旅游厕所4个，于2022年5月开始，2023年4月结束，项目总投资234万元，其中工程费用127.19万元，其他费用22.99万元，采购费用80万元，基本预备费3.82万元。通过本项目的实施，项目设计使用年限50年，有效提升居住环境，打造有特色的乡村景观，持续提高洛浦县恰尔巴格镇阔恰艾日克村居住人口的居住环境，争取使受益群众满意度达到95%以上。</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大门改造个数:预期指标值为≥15个。</w:t>
      </w:r>
    </w:p>
    <w:p>
      <w:pPr>
        <w:ind w:firstLine="560"/>
      </w:pPr>
      <w:r>
        <w:rPr>
          <w:rFonts w:hint="eastAsia"/>
        </w:rPr>
        <w:t>围墙改造面积:预期指标值为≥255.42平方米。</w:t>
      </w:r>
    </w:p>
    <w:p>
      <w:pPr>
        <w:ind w:firstLine="560"/>
      </w:pPr>
      <w:r>
        <w:rPr>
          <w:rFonts w:hint="eastAsia"/>
        </w:rPr>
        <w:t>外墙改造面积:预期指标值为≥8541.03平方米。</w:t>
      </w:r>
    </w:p>
    <w:p>
      <w:pPr>
        <w:ind w:firstLine="560"/>
      </w:pPr>
      <w:r>
        <w:rPr>
          <w:rFonts w:hint="eastAsia"/>
        </w:rPr>
        <w:t>内墙面改造面积:预期指标值为≥4169.21平方米。</w:t>
      </w:r>
    </w:p>
    <w:p>
      <w:pPr>
        <w:ind w:firstLine="560"/>
      </w:pPr>
      <w:r>
        <w:rPr>
          <w:rFonts w:hint="eastAsia"/>
        </w:rPr>
        <w:t>屋面防雨斜屋面改造面积:预期指标值为≥184.68平方米。</w:t>
      </w:r>
    </w:p>
    <w:p>
      <w:pPr>
        <w:ind w:firstLine="560"/>
      </w:pPr>
      <w:r>
        <w:rPr>
          <w:rFonts w:hint="eastAsia"/>
        </w:rPr>
        <w:t>卫生间改造面积:预期指标值为≥19.5平方米。</w:t>
      </w:r>
    </w:p>
    <w:p>
      <w:pPr>
        <w:ind w:firstLine="560"/>
      </w:pPr>
      <w:r>
        <w:rPr>
          <w:rFonts w:hint="eastAsia"/>
        </w:rPr>
        <w:t>购置安装旅游厕所:预期指标值为≥4个。</w:t>
      </w:r>
    </w:p>
    <w:p>
      <w:pPr>
        <w:ind w:firstLine="560"/>
      </w:pPr>
      <w:r>
        <w:rPr>
          <w:rFonts w:hint="eastAsia"/>
        </w:rPr>
        <w:t>②质量指标</w:t>
      </w:r>
    </w:p>
    <w:p>
      <w:pPr>
        <w:ind w:firstLine="560"/>
      </w:pPr>
      <w:r>
        <w:rPr>
          <w:rFonts w:hint="eastAsia"/>
        </w:rPr>
        <w:t>工程验收合格率:预期指标值为=100%。</w:t>
      </w:r>
    </w:p>
    <w:p>
      <w:pPr>
        <w:ind w:firstLine="560"/>
      </w:pPr>
      <w:r>
        <w:rPr>
          <w:rFonts w:hint="eastAsia"/>
        </w:rPr>
        <w:t>购置设备质量验收合格率:预期指标值为=100%。</w:t>
      </w:r>
    </w:p>
    <w:p>
      <w:pPr>
        <w:ind w:firstLine="560"/>
      </w:pPr>
      <w:r>
        <w:rPr>
          <w:rFonts w:hint="eastAsia"/>
        </w:rPr>
        <w:t>资金使用合规率:预期指标值为=100%。</w:t>
      </w:r>
    </w:p>
    <w:p>
      <w:pPr>
        <w:ind w:firstLine="560"/>
      </w:pPr>
      <w:r>
        <w:rPr>
          <w:rFonts w:hint="eastAsia"/>
        </w:rPr>
        <w:t>③时效指标</w:t>
      </w:r>
    </w:p>
    <w:p>
      <w:pPr>
        <w:ind w:firstLine="560"/>
      </w:pPr>
      <w:r>
        <w:rPr>
          <w:rFonts w:hint="eastAsia"/>
        </w:rPr>
        <w:t>项目开始时间:预期指标值为2022年4月。</w:t>
      </w:r>
    </w:p>
    <w:p>
      <w:pPr>
        <w:ind w:firstLine="560"/>
      </w:pPr>
      <w:r>
        <w:rPr>
          <w:rFonts w:hint="eastAsia"/>
        </w:rPr>
        <w:t>项目完成时间:预期指标值为2023年5月。</w:t>
      </w:r>
    </w:p>
    <w:p>
      <w:pPr>
        <w:ind w:firstLine="560"/>
      </w:pPr>
      <w:r>
        <w:rPr>
          <w:rFonts w:hint="eastAsia"/>
        </w:rPr>
        <w:t>资金支付及时率:预期指标值为=100%。</w:t>
      </w:r>
    </w:p>
    <w:p>
      <w:pPr>
        <w:ind w:firstLine="560"/>
      </w:pPr>
      <w:r>
        <w:rPr>
          <w:rFonts w:hint="eastAsia"/>
        </w:rPr>
        <w:t>④成本指标</w:t>
      </w:r>
    </w:p>
    <w:p>
      <w:pPr>
        <w:ind w:firstLine="560"/>
      </w:pPr>
      <w:r>
        <w:rPr>
          <w:rFonts w:hint="eastAsia"/>
        </w:rPr>
        <w:t>工程费用:预期指标值为≤127.19万元。</w:t>
      </w:r>
    </w:p>
    <w:p>
      <w:pPr>
        <w:ind w:firstLine="560"/>
      </w:pPr>
      <w:r>
        <w:rPr>
          <w:rFonts w:hint="eastAsia"/>
        </w:rPr>
        <w:t>其他费用:预期指标值为≤22.99万元。</w:t>
      </w:r>
    </w:p>
    <w:p>
      <w:pPr>
        <w:ind w:firstLine="560"/>
      </w:pPr>
      <w:r>
        <w:rPr>
          <w:rFonts w:hint="eastAsia"/>
        </w:rPr>
        <w:t>采购费用:预期指标值为≤80万元。</w:t>
      </w:r>
    </w:p>
    <w:p>
      <w:pPr>
        <w:ind w:firstLine="560"/>
      </w:pPr>
      <w:r>
        <w:rPr>
          <w:rFonts w:hint="eastAsia"/>
        </w:rPr>
        <w:t>基本预备费:预期指标值为≤3.82万元。</w:t>
      </w:r>
    </w:p>
    <w:p>
      <w:pPr>
        <w:ind w:firstLine="560"/>
        <w:rPr>
          <w:rFonts w:hint="eastAsia"/>
        </w:rPr>
      </w:pPr>
      <w:r>
        <w:rPr>
          <w:rFonts w:hint="eastAsia"/>
        </w:rPr>
        <w:t>（2）项目效益指标</w:t>
      </w:r>
    </w:p>
    <w:p>
      <w:pPr>
        <w:ind w:firstLine="560"/>
      </w:pPr>
      <w:r>
        <w:rPr>
          <w:rFonts w:hint="eastAsia"/>
        </w:rPr>
        <w:t>①经济效益指标</w:t>
      </w:r>
    </w:p>
    <w:p>
      <w:pPr>
        <w:ind w:firstLine="560"/>
      </w:pPr>
      <w:r>
        <w:t>无此类指标。</w:t>
      </w:r>
    </w:p>
    <w:p>
      <w:pPr>
        <w:ind w:firstLine="560"/>
      </w:pPr>
      <w:r>
        <w:rPr>
          <w:rFonts w:hint="eastAsia"/>
        </w:rPr>
        <w:t>②社会效益指标</w:t>
      </w:r>
    </w:p>
    <w:p>
      <w:pPr>
        <w:ind w:firstLine="560"/>
        <w:rPr>
          <w:rFonts w:hint="eastAsia"/>
        </w:rPr>
      </w:pPr>
      <w:r>
        <w:rPr>
          <w:rFonts w:hint="eastAsia"/>
        </w:rPr>
        <w:t>提升居住环境，打造具有特色的乡村景观:预期指标值为有效提升。</w:t>
      </w:r>
    </w:p>
    <w:p>
      <w:pPr>
        <w:ind w:firstLine="560"/>
      </w:pPr>
      <w:r>
        <w:rPr>
          <w:rFonts w:hint="eastAsia"/>
        </w:rPr>
        <w:t>③生态效益指标</w:t>
      </w:r>
    </w:p>
    <w:p>
      <w:pPr>
        <w:ind w:firstLine="560"/>
      </w:pPr>
      <w:r>
        <w:t>无此类指标。</w:t>
      </w:r>
    </w:p>
    <w:p>
      <w:pPr>
        <w:ind w:firstLine="560"/>
      </w:pPr>
      <w:r>
        <w:rPr>
          <w:rFonts w:hint="eastAsia"/>
        </w:rPr>
        <w:t>④可持续影响指标</w:t>
      </w:r>
    </w:p>
    <w:p>
      <w:pPr>
        <w:ind w:firstLine="560"/>
      </w:pPr>
      <w:r>
        <w:rPr>
          <w:rFonts w:hint="eastAsia"/>
        </w:rPr>
        <w:t>项目设计使用年限:预期指标值为≥50年。</w:t>
      </w:r>
    </w:p>
    <w:p>
      <w:pPr>
        <w:ind w:firstLine="560"/>
      </w:pPr>
      <w:r>
        <w:rPr>
          <w:rFonts w:hint="eastAsia"/>
        </w:rPr>
        <w:t>改善项目村人居环境:预期指标值为持续改善。</w:t>
      </w:r>
    </w:p>
    <w:p>
      <w:pPr>
        <w:ind w:firstLine="560"/>
      </w:pPr>
      <w:r>
        <w:t>⑤</w:t>
      </w:r>
      <w:r>
        <w:rPr>
          <w:rFonts w:hint="eastAsia"/>
        </w:rPr>
        <w:t>满意度指标</w:t>
      </w:r>
    </w:p>
    <w:p>
      <w:pPr>
        <w:ind w:firstLine="560"/>
      </w:pPr>
      <w:r>
        <w:rPr>
          <w:rFonts w:hint="eastAsia"/>
        </w:rPr>
        <w:t>受益群众满意度:预期指标值为≥95%。</w:t>
      </w:r>
    </w:p>
    <w:p>
      <w:pPr>
        <w:pStyle w:val="3"/>
        <w:ind w:firstLine="643"/>
      </w:pPr>
      <w:r>
        <w:rPr>
          <w:rFonts w:hint="eastAsia"/>
        </w:rPr>
        <w:t>二、绩效评价工作开展情况</w:t>
      </w:r>
    </w:p>
    <w:p>
      <w:pPr>
        <w:pStyle w:val="4"/>
        <w:ind w:firstLine="643"/>
      </w:pPr>
      <w:bookmarkStart w:id="0" w:name="_Toc5258"/>
      <w:bookmarkStart w:id="1" w:name="_Toc22169_WPSOffice_Level2"/>
      <w:bookmarkStart w:id="2" w:name="_Toc22922"/>
      <w:bookmarkStart w:id="3" w:name="_Toc12868"/>
      <w:bookmarkStart w:id="4" w:name="_Toc21664"/>
      <w:bookmarkStart w:id="5" w:name="_Toc26632"/>
      <w:bookmarkStart w:id="6" w:name="_Toc480473081"/>
      <w:bookmarkStart w:id="7" w:name="_Toc5462343"/>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恰尔巴格镇阔恰艾日克村乡村旅游提升改造建设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恰尔巴格镇阔恰艾日克村乡村旅游提升改造建设项目，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428278230"/>
      <w:bookmarkStart w:id="9" w:name="_Toc419984722"/>
      <w:bookmarkStart w:id="10" w:name="_Toc26131"/>
      <w:bookmarkStart w:id="11" w:name="_Toc1913"/>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图尔贡·多来提（评价小组组长）：主要负责项目全盘工作;</w:t>
      </w:r>
    </w:p>
    <w:p>
      <w:pPr>
        <w:ind w:firstLine="560"/>
      </w:pPr>
      <w:r>
        <w:rPr>
          <w:rFonts w:hint="eastAsia"/>
        </w:rPr>
        <w:t>魏昆（评价小组组员）：主要负责协调、解决项目建设过程中遇到的各种问题;</w:t>
      </w:r>
    </w:p>
    <w:p>
      <w:pPr>
        <w:ind w:firstLine="560"/>
      </w:pPr>
      <w:r>
        <w:rPr>
          <w:rFonts w:hint="eastAsia"/>
        </w:rPr>
        <w:t>马洪瑜（评价小组组员）：主要负责财务管理；</w:t>
      </w:r>
    </w:p>
    <w:p>
      <w:pPr>
        <w:ind w:firstLine="560"/>
      </w:pPr>
      <w:r>
        <w:rPr>
          <w:rFonts w:hint="eastAsia"/>
        </w:rPr>
        <w:t>张慧（评价小组组员）：主要负责协调、落实项目建设全过程。</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2"/>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部分达成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rFonts w:hint="eastAsia"/>
        </w:rPr>
      </w:pPr>
      <w:r>
        <w:rPr>
          <w:rFonts w:hint="eastAsia"/>
        </w:rPr>
        <w:t>一是：</w:t>
      </w:r>
      <w:r>
        <w:t>已完成改造15个大门，围墙改造255.42平方米，外墙改造8541.03平方米，内墙面改造面积4169.21平方米，屋面防雨斜屋面改造184.68平方米，卫生间改造面积19.5平方米，购置安装旅游厕所4个。</w:t>
      </w:r>
    </w:p>
    <w:p>
      <w:pPr>
        <w:ind w:firstLine="560"/>
      </w:pPr>
      <w:r>
        <w:rPr>
          <w:rFonts w:hint="eastAsia"/>
        </w:rPr>
        <w:t>二是：坚持以人民为中心，</w:t>
      </w:r>
      <w:r>
        <w:t>通过本项目的实施，有效提升居住环境，打造有特色的乡村景观，持续提高洛浦县恰尔巴格镇阔恰艾日克村居住人口的居住环境，</w:t>
      </w:r>
      <w:r>
        <w:rPr>
          <w:rFonts w:hint="eastAsia"/>
        </w:rPr>
        <w:t>使受益群众满意度达到</w:t>
      </w:r>
      <w:r>
        <w:t>100%</w:t>
      </w:r>
      <w:r>
        <w:rPr>
          <w:rFonts w:hint="eastAsia"/>
        </w:rPr>
        <w:t>。</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98</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三级指标数量32</w:t>
      </w:r>
      <w:r>
        <w:rPr>
          <w:rFonts w:hint="eastAsia"/>
          <w:lang w:val="zh-TW" w:eastAsia="zh-TW"/>
        </w:rPr>
        <w:t>个，实现</w:t>
      </w:r>
      <w:r>
        <w:rPr>
          <w:rFonts w:hint="eastAsia"/>
        </w:rPr>
        <w:t>三级指标数量30</w:t>
      </w:r>
      <w:r>
        <w:rPr>
          <w:rFonts w:hint="eastAsia"/>
          <w:lang w:val="zh-TW" w:eastAsia="zh-TW"/>
        </w:rPr>
        <w:t>个，</w:t>
      </w:r>
      <w:r>
        <w:rPr>
          <w:rFonts w:hint="eastAsia"/>
        </w:rPr>
        <w:t>总体完成率为93.75</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4</w:t>
      </w:r>
      <w:r>
        <w:rPr>
          <w:rFonts w:hint="eastAsia"/>
          <w:lang w:val="zh-TW" w:eastAsia="zh-TW"/>
        </w:rPr>
        <w:t>个，得分率</w:t>
      </w:r>
      <w:r>
        <w:rPr>
          <w:rFonts w:hint="eastAsia"/>
        </w:rPr>
        <w:t>80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17</w:t>
      </w:r>
      <w:r>
        <w:rPr>
          <w:rFonts w:hint="eastAsia"/>
          <w:lang w:val="zh-TW" w:eastAsia="zh-TW"/>
        </w:rPr>
        <w:t>个，满分指标</w:t>
      </w:r>
      <w:r>
        <w:rPr>
          <w:rFonts w:hint="eastAsia"/>
        </w:rPr>
        <w:t>16</w:t>
      </w:r>
      <w:r>
        <w:rPr>
          <w:rFonts w:hint="eastAsia"/>
          <w:lang w:val="zh-TW" w:eastAsia="zh-TW"/>
        </w:rPr>
        <w:t>个，得分率</w:t>
      </w:r>
      <w:r>
        <w:rPr>
          <w:rFonts w:hint="eastAsia"/>
        </w:rPr>
        <w:t>94.12</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p>
    <w:p>
      <w:pPr>
        <w:pStyle w:val="3"/>
        <w:numPr>
          <w:ilvl w:val="0"/>
          <w:numId w:val="2"/>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rPr>
        <w:t>本</w:t>
      </w:r>
      <w:r>
        <w:rPr>
          <w:rFonts w:hint="eastAsia"/>
          <w:lang w:eastAsia="zh-Hans"/>
        </w:rPr>
        <w:t>项目立项符合</w:t>
      </w:r>
      <w:r>
        <w:rPr>
          <w:rFonts w:hint="eastAsia"/>
        </w:rPr>
        <w:t>洛浦县财政局</w:t>
      </w:r>
      <w:r>
        <w:rPr>
          <w:rFonts w:hint="eastAsia"/>
          <w:lang w:eastAsia="zh-Hans"/>
        </w:rPr>
        <w:t>颁发的《</w:t>
      </w:r>
      <w:r>
        <w:rPr>
          <w:rFonts w:hint="eastAsia"/>
        </w:rPr>
        <w:t>关于拨付2022年旅游发展专项资金（统筹整合部分）的通知</w:t>
      </w:r>
      <w:r>
        <w:rPr>
          <w:rFonts w:hint="eastAsia"/>
          <w:lang w:eastAsia="zh-Hans"/>
        </w:rPr>
        <w:t>》（</w:t>
      </w:r>
      <w:r>
        <w:rPr>
          <w:rFonts w:hint="eastAsia"/>
        </w:rPr>
        <w:t>和地财教【2022】54号</w:t>
      </w:r>
      <w:r>
        <w:rPr>
          <w:rFonts w:hint="eastAsia"/>
          <w:lang w:eastAsia="zh-Hans"/>
        </w:rPr>
        <w:t>），符合行业发展规划和政策要求；本项目立项符合《洛浦县文旅局配置内设机构和人员编制规定》中的职责范围，属于我单位履职所需；</w:t>
      </w:r>
      <w:r>
        <w:rPr>
          <w:rFonts w:hint="eastAsia"/>
        </w:rPr>
        <w:t>本</w:t>
      </w:r>
      <w:r>
        <w:rPr>
          <w:rFonts w:hint="eastAsia"/>
          <w:lang w:eastAsia="zh-Hans"/>
        </w:rPr>
        <w:t>项目资金性质为“公共财政预算”的功能分类</w:t>
      </w:r>
      <w:r>
        <w:rPr>
          <w:rFonts w:hint="eastAsia"/>
        </w:rPr>
        <w:t>和</w:t>
      </w:r>
      <w:r>
        <w:rPr>
          <w:rFonts w:hint="eastAsia"/>
          <w:lang w:eastAsia="zh-Hans"/>
        </w:rPr>
        <w:t>经济分类，属于公共财政支持范围，符合中央、地方事权支出责任划分原则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ind w:firstLine="560"/>
      </w:pPr>
      <w:r>
        <w:rPr>
          <w:rFonts w:hint="eastAsia"/>
        </w:rPr>
        <w:t>本项目，项目立项过程中产生的文件均符合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文化</w:t>
      </w:r>
      <w:r>
        <w:rPr>
          <w:rFonts w:hint="eastAsia"/>
          <w:lang w:eastAsia="zh-Hans"/>
        </w:rPr>
        <w:t>类项目，</w:t>
      </w:r>
      <w:r>
        <w:rPr>
          <w:rFonts w:hint="eastAsia"/>
        </w:rPr>
        <w:t>属于经常性项目，</w:t>
      </w:r>
      <w:r>
        <w:rPr>
          <w:rFonts w:hint="eastAsia"/>
          <w:lang w:eastAsia="zh-Hans"/>
        </w:rPr>
        <w:t>项目预算金额为</w:t>
      </w:r>
      <w:r>
        <w:rPr>
          <w:rFonts w:hint="eastAsia"/>
        </w:rPr>
        <w:t>234万元</w:t>
      </w:r>
      <w:r>
        <w:rPr>
          <w:rFonts w:hint="eastAsia"/>
          <w:lang w:eastAsia="zh-Hans"/>
        </w:rPr>
        <w:t>，不涉及</w:t>
      </w:r>
      <w:r>
        <w:rPr>
          <w:rFonts w:hint="eastAsia"/>
        </w:rPr>
        <w:t>事前绩效评估和风险评估，已委托</w:t>
      </w:r>
      <w:r>
        <w:fldChar w:fldCharType="begin"/>
      </w:r>
      <w:r>
        <w:instrText xml:space="preserve"> HYPERLINK "https://www.so.com/s?q=%E6%96%B0%E7%96%86%E5%8E%9F%E5%88%9B%E5%9F%8E%E5%B8%82%E8%AE%BE%E8%AE%A1%E7%A0%94%E7%A9%B6%E9%99%A2%E6%9C%89%E9%99%90%E5%85%AC%E5%8F%B8&amp;sp=a6a&amp;psid=6d550c3fbaf8921e3b55cf40f802b18b&amp;eci=&amp;nlpv=global_a2_yc&amp;src=pdr_guide_3.5" \t "https://www.so.com/_blank" </w:instrText>
      </w:r>
      <w:r>
        <w:fldChar w:fldCharType="separate"/>
      </w:r>
      <w:r>
        <w:t>新疆原创城市设计研究院有限公司</w:t>
      </w:r>
      <w:r>
        <w:fldChar w:fldCharType="end"/>
      </w:r>
      <w:r>
        <w:rPr>
          <w:rFonts w:hint="eastAsia"/>
        </w:rPr>
        <w:t>完成本项目实施方案的编制，并经过</w:t>
      </w:r>
      <w:r>
        <w:rPr>
          <w:rFonts w:hint="eastAsia"/>
          <w:lang w:eastAsia="zh-Hans"/>
        </w:rPr>
        <w:t>专家论证</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rFonts w:hint="eastAsia"/>
        </w:rPr>
      </w:pPr>
      <w:r>
        <w:rPr>
          <w:rFonts w:hint="eastAsia"/>
        </w:rPr>
        <w:t>本项目已设置年度绩效目标，具体内容为“改造15个大门，围墙改造255.42平方米，外墙改造8541.03平方米，内墙面改造面积4169.21平方米，屋面防雨斜屋面改造184.68平方米，卫生间改造面积19.5平方米，购置安装旅游厕所4个，于2022年5月开始，2023年4月结束，项目总投资234万元，其中工程费用127.19万元，其他费用22.99万元，采购费用80万元，基本预备费3.82万元。通过本项目的实施，项目设计使用年限50年，有效提升居住环境，打造有特色的乡村景观，持续提高洛浦县恰尔巴格镇阔恰艾日克村居住人口的居住环境，争取使受益群众满意度达到95%以上</w:t>
      </w:r>
      <w:r>
        <w:rPr>
          <w:rFonts w:hint="eastAsia"/>
          <w:lang w:eastAsia="zh-Hans"/>
        </w:rPr>
        <w:t>。本项目实际工作为：截</w:t>
      </w:r>
      <w:r>
        <w:rPr>
          <w:rFonts w:hint="eastAsia"/>
          <w:lang w:eastAsia="zh-CN"/>
        </w:rPr>
        <w:t>至</w:t>
      </w:r>
      <w:bookmarkStart w:id="15" w:name="_GoBack"/>
      <w:bookmarkEnd w:id="15"/>
      <w:r>
        <w:rPr>
          <w:lang w:eastAsia="zh-Hans"/>
        </w:rPr>
        <w:t>2022年12月31日，本项目已完成改造15个大门，围墙改造255.42平方米，外墙改造8541.03平方米，内墙面改造面积4169.21平方米，屋面防雨斜屋面改造184.68平方米，卫生间改造面积19.5平方米，购置安装旅游厕所4个，于2022年5月开始，2023年1月结束，项目总投资234万元，实际支出220.36万元，其中工程费用76.26万元，其他费用15.48万元，采购费用128.62万元，基本预备费0万元。通过本项目的实施，项目设计使用年限50年，有效提升了居住环境，打造有特色的乡村景观，持</w:t>
      </w:r>
      <w:r>
        <w:rPr>
          <w:rFonts w:hint="eastAsia"/>
          <w:lang w:eastAsia="zh-Hans"/>
        </w:rPr>
        <w:t>续提高了洛浦县恰尔巴格镇阔恰艾日克村居住人口的居住环境，使受益群众满意度达到</w:t>
      </w:r>
      <w:r>
        <w:rPr>
          <w:lang w:eastAsia="zh-Hans"/>
        </w:rPr>
        <w:t>100%。</w:t>
      </w:r>
      <w:r>
        <w:rPr>
          <w:rFonts w:hint="eastAsia"/>
          <w:lang w:eastAsia="zh-Hans"/>
        </w:rPr>
        <w:t>。绩效目标与实际工作内容一致，两者具有相关性;本项目按照绩效目标完成数量指标、质量指标、时效指标、成本指标，</w:t>
      </w:r>
      <w:r>
        <w:rPr>
          <w:lang w:eastAsia="zh-Hans"/>
        </w:rPr>
        <w:t>有效提升了居住环境，打造有特色的乡村景观，持</w:t>
      </w:r>
      <w:r>
        <w:rPr>
          <w:rFonts w:hint="eastAsia"/>
          <w:lang w:eastAsia="zh-Hans"/>
        </w:rPr>
        <w:t>续提高了洛浦县恰尔巴格镇阔恰艾日克村居住人口的居住环境。年度绩效目标完成，预期产出效益和效果符合正常的业绩水平。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21</w:t>
      </w:r>
      <w:r>
        <w:rPr>
          <w:rFonts w:hint="eastAsia"/>
          <w:lang w:eastAsia="zh-Hans"/>
        </w:rPr>
        <w:t>个</w:t>
      </w:r>
      <w:r>
        <w:rPr>
          <w:rFonts w:hint="eastAsia"/>
        </w:rPr>
        <w:t>，</w:t>
      </w:r>
      <w:r>
        <w:rPr>
          <w:rFonts w:hint="eastAsia"/>
          <w:lang w:eastAsia="zh-Hans"/>
        </w:rPr>
        <w:t>定量指</w:t>
      </w:r>
      <w:r>
        <w:rPr>
          <w:rFonts w:hint="eastAsia"/>
        </w:rPr>
        <w:t>17</w:t>
      </w:r>
      <w:r>
        <w:rPr>
          <w:rFonts w:hint="eastAsia"/>
          <w:lang w:eastAsia="zh-Hans"/>
        </w:rPr>
        <w:t>个，定性指标</w:t>
      </w:r>
      <w:r>
        <w:rPr>
          <w:rFonts w:hint="eastAsia"/>
        </w:rPr>
        <w:t>4</w:t>
      </w:r>
      <w:r>
        <w:rPr>
          <w:rFonts w:hint="eastAsia"/>
          <w:lang w:eastAsia="zh-Hans"/>
        </w:rPr>
        <w:t>个，指标量化率为</w:t>
      </w:r>
      <w:r>
        <w:rPr>
          <w:rFonts w:hint="eastAsia"/>
        </w:rPr>
        <w:t>80.95</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2"/>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bidi="ar"/>
        </w:rPr>
        <w:t>本</w:t>
      </w:r>
      <w:r>
        <w:rPr>
          <w:rFonts w:hint="eastAsia"/>
          <w:lang w:eastAsia="zh-Hans" w:bidi="ar"/>
        </w:rPr>
        <w:t>项目预算编制通过</w:t>
      </w:r>
      <w:r>
        <w:rPr>
          <w:rFonts w:hint="eastAsia"/>
          <w:lang w:bidi="ar"/>
        </w:rPr>
        <w:t>委托第三方机构</w:t>
      </w:r>
      <w:r>
        <w:rPr>
          <w:rFonts w:hint="eastAsia"/>
          <w:lang w:eastAsia="zh-Hans" w:bidi="ar"/>
        </w:rPr>
        <w:t>，由</w:t>
      </w:r>
      <w:r>
        <w:fldChar w:fldCharType="begin"/>
      </w:r>
      <w:r>
        <w:instrText xml:space="preserve"> HYPERLINK "https://www.so.com/s?q=%E6%96%B0%E7%96%86%E5%8E%9F%E5%88%9B%E5%9F%8E%E5%B8%82%E8%AE%BE%E8%AE%A1%E7%A0%94%E7%A9%B6%E9%99%A2%E6%9C%89%E9%99%90%E5%85%AC%E5%8F%B8&amp;sp=a6a&amp;psid=6d550c3fbaf8921e3b55cf40f802b18b&amp;eci=&amp;nlpv=global_a2_yc&amp;src=pdr_guide_3.5" \t "https://www.so.com/_blank" </w:instrText>
      </w:r>
      <w:r>
        <w:fldChar w:fldCharType="separate"/>
      </w:r>
      <w:r>
        <w:t>新疆原创城市设计研究院有限公司</w:t>
      </w:r>
      <w:r>
        <w:fldChar w:fldCharType="end"/>
      </w:r>
      <w:r>
        <w:rPr>
          <w:rFonts w:hint="eastAsia"/>
          <w:lang w:bidi="ar"/>
        </w:rPr>
        <w:t>编制，并提交洛浦县发改委审批</w:t>
      </w:r>
      <w:r>
        <w:rPr>
          <w:rFonts w:hint="eastAsia"/>
          <w:lang w:eastAsia="zh-Hans" w:bidi="ar"/>
        </w:rPr>
        <w:t>，即预算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w:t>
      </w:r>
      <w:r>
        <w:rPr>
          <w:rFonts w:hint="eastAsia"/>
        </w:rPr>
        <w:t>改造15个大门，围墙改造255.42平方米，外墙改造8541.03平方米，内墙面改造面积4169.21平方米，屋面防雨斜屋面改造184.68平方米，卫生间改造面积19.5平方米，购置安装旅游厕所4个</w:t>
      </w:r>
      <w:r>
        <w:rPr>
          <w:rFonts w:hint="eastAsia"/>
          <w:lang w:eastAsia="zh-Hans" w:bidi="ar"/>
        </w:rPr>
        <w:t>，预算申请与《</w:t>
      </w:r>
      <w:r>
        <w:rPr>
          <w:rFonts w:hint="eastAsia"/>
          <w:lang w:bidi="ar"/>
        </w:rPr>
        <w:t>洛浦县恰尔巴格镇阔恰艾日克村乡村旅游提升改造建设项目实施方案</w:t>
      </w:r>
      <w:r>
        <w:rPr>
          <w:rFonts w:hint="eastAsia"/>
          <w:lang w:eastAsia="zh-Hans" w:bidi="ar"/>
        </w:rPr>
        <w:t>》中涉及的项目内容匹配</w:t>
      </w:r>
      <w:r>
        <w:rPr>
          <w:rFonts w:hint="eastAsia"/>
          <w:lang w:bidi="ar"/>
        </w:rPr>
        <w:t>；</w:t>
      </w:r>
    </w:p>
    <w:p>
      <w:pPr>
        <w:ind w:firstLine="560"/>
        <w:rPr>
          <w:lang w:bidi="ar"/>
        </w:rPr>
      </w:pPr>
      <w:r>
        <w:rPr>
          <w:rFonts w:hint="eastAsia"/>
        </w:rPr>
        <w:t>本项目预算申请资金234万元，我单位在预算申请中严格按照单位标准和数量进行核算，其中：单位标准为万元，数量为234。本项目预算额度测算依据充分，严格按照标准编制，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申请洛浦县恰尔巴格镇阔恰艾日克村乡村旅游提升改造建设项目资金的请示</w:t>
      </w:r>
      <w:r>
        <w:rPr>
          <w:rFonts w:hint="eastAsia"/>
          <w:lang w:eastAsia="zh-Hans" w:bidi="ar"/>
        </w:rPr>
        <w:t>》</w:t>
      </w:r>
      <w:r>
        <w:rPr>
          <w:rFonts w:hint="eastAsia"/>
          <w:lang w:bidi="ar"/>
        </w:rPr>
        <w:t>和《洛浦县恰尔巴格镇阔恰艾日克村乡村旅游提升改造建设项目实施方案》</w:t>
      </w:r>
      <w:r>
        <w:rPr>
          <w:rFonts w:hint="eastAsia"/>
          <w:lang w:eastAsia="zh-Hans" w:bidi="ar"/>
        </w:rPr>
        <w:t>为依据进行资金分配，预算资金分配依据充分</w:t>
      </w:r>
      <w:r>
        <w:rPr>
          <w:rFonts w:hint="eastAsia"/>
          <w:lang w:bidi="ar"/>
        </w:rPr>
        <w:t>。根据《洛浦县恰尔巴格镇阔恰艾日克村乡村旅游提升改造建设项目资金下达文件》文件显示，本项目实际到位资金234万元，实际分配资金与我单位提交申请的资金额度一致，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u w:color="000000"/>
        </w:rPr>
        <w:t>18</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本项目预算资金为234万元，其中：本级财政安排资金234万元，其他资金0万元，实际到位资金234万元，资金到位率100%。得分4分。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pPr>
      <w:r>
        <w:rPr>
          <w:rFonts w:hint="eastAsia"/>
          <w:b/>
          <w:bCs/>
        </w:rPr>
        <w:t>（2）预算执行率</w:t>
      </w:r>
    </w:p>
    <w:p>
      <w:pPr>
        <w:ind w:firstLine="560"/>
      </w:pPr>
      <w:r>
        <w:rPr>
          <w:rFonts w:hint="eastAsia"/>
        </w:rPr>
        <w:t>本项目实际支出资金220.36万元，</w:t>
      </w:r>
      <w:r>
        <w:rPr>
          <w:rFonts w:hint="eastAsia"/>
          <w:lang w:eastAsia="zh-Hans"/>
        </w:rPr>
        <w:t>预算执行率</w:t>
      </w:r>
      <w:r>
        <w:rPr>
          <w:rFonts w:hint="eastAsia"/>
        </w:rPr>
        <w:t>94.17%。得分4分。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洛浦县文化体育广播电视和旅游局</w:t>
      </w:r>
      <w:r>
        <w:t>资金管理办法》</w:t>
      </w:r>
      <w:r>
        <w:rPr>
          <w:rFonts w:hint="eastAsia"/>
        </w:rPr>
        <w:t>《中央预算内资金管理办法》，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文旅局项目资金管理办法》、《洛浦县文旅局项目收支业务管理制度》、《洛浦县文旅局政府采购业务管理制度》、《洛浦县文旅局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恰尔巴格镇阔恰艾日克村乡村旅游提升改造建设项目工作领导小组，由局长图尔贡·多来提任组长，负责项目的组织工作；魏昆任副组长，负责项目的实施工作；组员包括：马洪瑜和张慧，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17</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1.数量指标完成情况分析</w:t>
      </w:r>
    </w:p>
    <w:p>
      <w:pPr>
        <w:ind w:firstLine="560"/>
      </w:pPr>
      <w:r>
        <w:rPr>
          <w:rFonts w:hint="eastAsia"/>
        </w:rPr>
        <w:t>大门改造个数:预期指标值为≥15个，实际完成值为15个,指标完成率为100%。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围墙改造面积:预期指标值为≥255.42平方米，实际完成值为255.42平方米,指标完成率为100%。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外墙改造面积:预期指标值为≥8541.03平方米，实际完成值为8541.03平方米,指标完成率为100%。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内墙面改造面积:预期指标值为≥4169.21平方米，实际完成值为4169.21平方米,指标完成率为100%。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屋面防雨斜屋面改造面积:预期指标值为≥184.68平方米，实际完成值为184.68平方米,指标完成率为100%。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卫生间改造面积:预期指标值为≥19.5平方米，实际完成值为19.5平方米,指标完成率为100%。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购置安装旅游厕所:预期指标值为≥4个，实际完成值为4个,指标完成率为100%。</w:t>
      </w:r>
      <w:r>
        <w:rPr>
          <w:rFonts w:hint="eastAsia"/>
        </w:rPr>
        <w:tab/>
      </w:r>
      <w:r>
        <w:rPr>
          <w:rFonts w:hint="eastAsia"/>
        </w:rPr>
        <w:tab/>
      </w:r>
      <w:r>
        <w:rPr>
          <w:rFonts w:hint="eastAsia"/>
        </w:rPr>
        <w:tab/>
      </w:r>
      <w:r>
        <w:rPr>
          <w:rFonts w:hint="eastAsia"/>
        </w:rPr>
        <w:tab/>
      </w:r>
      <w:r>
        <w:rPr>
          <w:rFonts w:hint="eastAsia"/>
        </w:rPr>
        <w:tab/>
      </w:r>
    </w:p>
    <w:p>
      <w:pPr>
        <w:pStyle w:val="2"/>
        <w:ind w:firstLine="562"/>
      </w:pPr>
      <w:r>
        <w:rPr>
          <w:rFonts w:hint="eastAsia"/>
        </w:rPr>
        <w:t>2.质量指标完成情况分析</w:t>
      </w:r>
    </w:p>
    <w:p>
      <w:pPr>
        <w:ind w:firstLine="560"/>
      </w:pPr>
      <w:r>
        <w:rPr>
          <w:rFonts w:hint="eastAsia"/>
        </w:rPr>
        <w:t>工程验收合格率:预期指标值为=100%，实际完成值为100%,指标完成率为100%。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购置设备质量验收合格率:预期指标值为=100%，实际完成值为100%,指标完成率为100%。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资金使用合规率:预期指标值为=100%，实际完成值为100%,指标完成率为100%。</w:t>
      </w:r>
      <w:r>
        <w:rPr>
          <w:rFonts w:hint="eastAsia"/>
        </w:rPr>
        <w:tab/>
      </w:r>
      <w:r>
        <w:rPr>
          <w:rFonts w:hint="eastAsia"/>
        </w:rPr>
        <w:tab/>
      </w:r>
      <w:r>
        <w:rPr>
          <w:rFonts w:hint="eastAsia"/>
        </w:rPr>
        <w:tab/>
      </w:r>
      <w:r>
        <w:rPr>
          <w:rFonts w:hint="eastAsia"/>
        </w:rPr>
        <w:tab/>
      </w:r>
      <w:r>
        <w:rPr>
          <w:rFonts w:hint="eastAsia"/>
        </w:rPr>
        <w:tab/>
      </w:r>
    </w:p>
    <w:p>
      <w:pPr>
        <w:pStyle w:val="2"/>
        <w:ind w:firstLine="562"/>
      </w:pPr>
      <w:r>
        <w:rPr>
          <w:rFonts w:hint="eastAsia"/>
        </w:rPr>
        <w:t>3.时效指标完成情况分析</w:t>
      </w:r>
    </w:p>
    <w:p>
      <w:pPr>
        <w:ind w:firstLine="560"/>
      </w:pPr>
      <w:r>
        <w:rPr>
          <w:rFonts w:hint="eastAsia"/>
        </w:rPr>
        <w:t>项目开始时间:预期指标值为2022年5月，实际完成值为2022年5月,指标完成率为100%。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项目完成时间:预期指标值为2023年4月，实际完成值为2023年1月，指标完成率为100%。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资金支付及时率:预期指标值为=100%，实际完成值为100%,指标完成率为100%。</w:t>
      </w:r>
      <w:r>
        <w:rPr>
          <w:rFonts w:hint="eastAsia"/>
        </w:rPr>
        <w:tab/>
      </w:r>
      <w:r>
        <w:rPr>
          <w:rFonts w:hint="eastAsia"/>
        </w:rPr>
        <w:tab/>
      </w:r>
      <w:r>
        <w:rPr>
          <w:rFonts w:hint="eastAsia"/>
        </w:rPr>
        <w:tab/>
      </w:r>
      <w:r>
        <w:rPr>
          <w:rFonts w:hint="eastAsia"/>
        </w:rPr>
        <w:tab/>
      </w:r>
      <w:r>
        <w:rPr>
          <w:rFonts w:hint="eastAsia"/>
        </w:rPr>
        <w:tab/>
      </w:r>
    </w:p>
    <w:p>
      <w:pPr>
        <w:pStyle w:val="2"/>
        <w:ind w:firstLine="562"/>
      </w:pPr>
      <w:r>
        <w:rPr>
          <w:rFonts w:hint="eastAsia"/>
        </w:rPr>
        <w:t>4.成本指标完成情况分析</w:t>
      </w:r>
    </w:p>
    <w:p>
      <w:pPr>
        <w:ind w:firstLine="560"/>
      </w:pPr>
      <w:r>
        <w:rPr>
          <w:rFonts w:hint="eastAsia"/>
        </w:rPr>
        <w:t>工程费用:预期指标值为≤127.19万元，实际完成值为76.26万元,指标完成率为100%。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其他费用:预期指标值为≤22.99万元，实际完成值为15.48万元,指标完成率为100%。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采购费用:预期指标值为≤80万元，实际完成值为128.62万元,指标完成率为0%。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基本预备费:预期指标值为≤3.82万元，实际完成值为0万元,指标完成率为100%。</w:t>
      </w:r>
      <w:r>
        <w:rPr>
          <w:rFonts w:hint="eastAsia"/>
        </w:rPr>
        <w:tab/>
      </w:r>
      <w:r>
        <w:rPr>
          <w:rFonts w:hint="eastAsia"/>
        </w:rPr>
        <w:tab/>
      </w:r>
      <w:r>
        <w:rPr>
          <w:rFonts w:hint="eastAsia"/>
        </w:rPr>
        <w:tab/>
      </w:r>
      <w:r>
        <w:rPr>
          <w:rFonts w:hint="eastAsia"/>
        </w:rPr>
        <w:tab/>
      </w:r>
      <w:r>
        <w:rPr>
          <w:rFonts w:hint="eastAsia"/>
        </w:rPr>
        <w:tab/>
      </w:r>
    </w:p>
    <w:p>
      <w:pPr>
        <w:pStyle w:val="4"/>
        <w:ind w:firstLine="643"/>
      </w:pPr>
      <w:r>
        <w:rPr>
          <w:rFonts w:hint="eastAsia"/>
        </w:rPr>
        <w:t>（四）项目效益情况</w:t>
      </w:r>
    </w:p>
    <w:p>
      <w:pPr>
        <w:ind w:firstLine="560"/>
        <w:rPr>
          <w:rFonts w:hint="eastAsia"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1.经济效益完成情况分析</w:t>
      </w:r>
    </w:p>
    <w:p>
      <w:pPr>
        <w:ind w:firstLine="560"/>
      </w:pPr>
      <w:r>
        <w:t>无此类指标。</w:t>
      </w:r>
    </w:p>
    <w:p>
      <w:pPr>
        <w:pStyle w:val="2"/>
        <w:ind w:firstLine="562"/>
      </w:pPr>
      <w:r>
        <w:rPr>
          <w:rFonts w:hint="eastAsia"/>
        </w:rPr>
        <w:t>2.社会效益完成情况分析</w:t>
      </w:r>
    </w:p>
    <w:p>
      <w:pPr>
        <w:pStyle w:val="2"/>
        <w:ind w:firstLine="560"/>
      </w:pPr>
      <w:r>
        <w:rPr>
          <w:rFonts w:hint="eastAsia"/>
          <w:b w:val="0"/>
          <w:bCs w:val="0"/>
          <w:kern w:val="2"/>
          <w:szCs w:val="24"/>
        </w:rPr>
        <w:t>提升居住环境，打造具有特色的乡村景观:预期指标值为有效提升，实际完成值为有效提升,指标完成率为100%。</w:t>
      </w:r>
      <w:r>
        <w:rPr>
          <w:rFonts w:hint="eastAsia"/>
          <w:b w:val="0"/>
          <w:bCs w:val="0"/>
          <w:kern w:val="2"/>
          <w:szCs w:val="24"/>
        </w:rPr>
        <w:tab/>
      </w:r>
      <w:r>
        <w:rPr>
          <w:rFonts w:hint="eastAsia"/>
        </w:rPr>
        <w:tab/>
      </w:r>
      <w:r>
        <w:rPr>
          <w:rFonts w:hint="eastAsia"/>
        </w:rPr>
        <w:tab/>
      </w:r>
      <w:r>
        <w:rPr>
          <w:rFonts w:hint="eastAsia"/>
        </w:rPr>
        <w:tab/>
      </w:r>
      <w:r>
        <w:rPr>
          <w:rFonts w:hint="eastAsia"/>
        </w:rPr>
        <w:tab/>
      </w:r>
    </w:p>
    <w:p>
      <w:pPr>
        <w:pStyle w:val="2"/>
        <w:ind w:firstLine="562"/>
      </w:pPr>
      <w:r>
        <w:rPr>
          <w:rFonts w:hint="eastAsia"/>
        </w:rPr>
        <w:t>3.生态效益完成情况分析</w:t>
      </w:r>
    </w:p>
    <w:p>
      <w:pPr>
        <w:ind w:firstLine="560"/>
        <w:rPr>
          <w:rFonts w:hint="eastAsia"/>
        </w:rPr>
      </w:pPr>
      <w:r>
        <w:rPr>
          <w:rFonts w:hint="eastAsia"/>
        </w:rPr>
        <w:t>无此类指标。</w:t>
      </w:r>
    </w:p>
    <w:p>
      <w:pPr>
        <w:pStyle w:val="2"/>
        <w:ind w:firstLine="562"/>
      </w:pPr>
      <w:r>
        <w:rPr>
          <w:rFonts w:hint="eastAsia"/>
        </w:rPr>
        <w:t>4.可持续影响完成情况分析</w:t>
      </w:r>
    </w:p>
    <w:p>
      <w:pPr>
        <w:ind w:firstLine="560"/>
      </w:pPr>
      <w:r>
        <w:rPr>
          <w:rFonts w:hint="eastAsia"/>
        </w:rPr>
        <w:t>项目设计使用年限:预期指标值为≥50年，实际完成值为50年,指标完成率为100%。</w:t>
      </w:r>
      <w:r>
        <w:rPr>
          <w:rFonts w:hint="eastAsia"/>
        </w:rPr>
        <w:tab/>
      </w:r>
      <w:r>
        <w:rPr>
          <w:rFonts w:hint="eastAsia"/>
        </w:rPr>
        <w:tab/>
      </w:r>
      <w:r>
        <w:rPr>
          <w:rFonts w:hint="eastAsia"/>
        </w:rPr>
        <w:tab/>
      </w:r>
      <w:r>
        <w:rPr>
          <w:rFonts w:hint="eastAsia"/>
        </w:rPr>
        <w:tab/>
      </w:r>
      <w:r>
        <w:rPr>
          <w:rFonts w:hint="eastAsia"/>
        </w:rPr>
        <w:tab/>
      </w:r>
    </w:p>
    <w:p>
      <w:pPr>
        <w:ind w:firstLine="560"/>
      </w:pPr>
      <w:r>
        <w:rPr>
          <w:rFonts w:hint="eastAsia"/>
        </w:rPr>
        <w:t>提高洛浦县恰尔巴格镇阔恰艾日克村居住人口的居住环境:预期指标值为持续提高，实际完成值为持续提高,指标完成率为100%。</w:t>
      </w:r>
      <w:r>
        <w:rPr>
          <w:rFonts w:hint="eastAsia"/>
        </w:rPr>
        <w:tab/>
      </w:r>
      <w:r>
        <w:rPr>
          <w:rFonts w:hint="eastAsia"/>
        </w:rPr>
        <w:tab/>
      </w:r>
      <w:r>
        <w:rPr>
          <w:rFonts w:hint="eastAsia"/>
        </w:rPr>
        <w:tab/>
      </w:r>
      <w:r>
        <w:rPr>
          <w:rFonts w:hint="eastAsia"/>
        </w:rPr>
        <w:tab/>
      </w:r>
      <w:r>
        <w:rPr>
          <w:rFonts w:hint="eastAsia"/>
        </w:rPr>
        <w:tab/>
      </w:r>
      <w:r>
        <w:rPr>
          <w:rFonts w:hint="eastAsia"/>
          <w:b/>
          <w:bCs/>
          <w:kern w:val="0"/>
          <w:szCs w:val="32"/>
        </w:rPr>
        <w:t>5.满意度指标完成情况分析</w:t>
      </w:r>
    </w:p>
    <w:p>
      <w:pPr>
        <w:ind w:firstLine="560"/>
      </w:pPr>
      <w:r>
        <w:rPr>
          <w:rFonts w:hint="eastAsia"/>
        </w:rPr>
        <w:t>“受益群众满意度”指标：预期指标值为≥95%，实际完成指标值为100%，指标完成率为100%。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本项目年初预算资金总额为234万元，全年预算数为234万元，全年执行数为220.36万元，预算执行率为94.17%。</w:t>
      </w:r>
    </w:p>
    <w:p>
      <w:pPr>
        <w:pStyle w:val="6"/>
        <w:ind w:firstLine="560"/>
      </w:pPr>
      <w:r>
        <w:rPr>
          <w:rFonts w:hint="eastAsia"/>
        </w:rPr>
        <w:t>本</w:t>
      </w:r>
      <w:r>
        <w:rPr>
          <w:rFonts w:hint="eastAsia"/>
          <w:lang w:val="zh-TW" w:eastAsia="zh-TW"/>
        </w:rPr>
        <w:t>项目共设置</w:t>
      </w:r>
      <w:r>
        <w:rPr>
          <w:rFonts w:hint="eastAsia"/>
        </w:rPr>
        <w:t>三级指标数量32</w:t>
      </w:r>
      <w:r>
        <w:rPr>
          <w:rFonts w:hint="eastAsia"/>
          <w:lang w:val="zh-TW" w:eastAsia="zh-TW"/>
        </w:rPr>
        <w:t>个，</w:t>
      </w:r>
      <w:r>
        <w:rPr>
          <w:rFonts w:hint="eastAsia"/>
          <w:lang w:val="zh-TW"/>
        </w:rPr>
        <w:t>满分指标数量</w:t>
      </w:r>
      <w:r>
        <w:rPr>
          <w:rFonts w:hint="eastAsia"/>
        </w:rPr>
        <w:t>30个，扣分指标数量2个，经分析计算所有三级指标完成率得出，本项目总体完成率为96.69</w:t>
      </w:r>
      <w:r>
        <w:rPr>
          <w:rFonts w:hint="eastAsia"/>
          <w:lang w:val="zh-TW" w:eastAsia="zh-TW"/>
        </w:rPr>
        <w:t>%。</w:t>
      </w:r>
    </w:p>
    <w:p>
      <w:pPr>
        <w:pStyle w:val="6"/>
        <w:ind w:firstLine="560"/>
      </w:pPr>
      <w:r>
        <w:rPr>
          <w:rFonts w:hint="eastAsia"/>
        </w:rPr>
        <w:t>综上所述本项目预算执行率与总体完成率之间的偏差为2.52%。</w:t>
      </w:r>
    </w:p>
    <w:p>
      <w:pPr>
        <w:pStyle w:val="3"/>
        <w:ind w:firstLine="643"/>
      </w:pPr>
      <w:r>
        <w:rPr>
          <w:rFonts w:hint="eastAsia"/>
        </w:rPr>
        <w:t>六、主要经验及做法、存在的问题及原因分析</w:t>
      </w:r>
    </w:p>
    <w:p>
      <w:pPr>
        <w:pStyle w:val="4"/>
        <w:numPr>
          <w:ilvl w:val="0"/>
          <w:numId w:val="3"/>
        </w:numPr>
        <w:ind w:firstLine="643"/>
      </w:pPr>
      <w:bookmarkStart w:id="12" w:name="_Toc28290"/>
      <w:bookmarkStart w:id="13" w:name="_Toc1921"/>
      <w:r>
        <w:rPr>
          <w:rFonts w:hint="eastAsia"/>
        </w:rPr>
        <w:t>主要经验及做法</w:t>
      </w:r>
    </w:p>
    <w:bookmarkEnd w:id="12"/>
    <w:bookmarkEnd w:id="13"/>
    <w:p>
      <w:pPr>
        <w:ind w:firstLine="560"/>
      </w:pPr>
      <w:r>
        <w:rPr>
          <w:rFonts w:hint="eastAsia"/>
        </w:rPr>
        <w:t>我单位对项目资金管理的资金预算申报与调整、项目资金的管理与拨付、监督检查、绩效评价等环节以及项目管理的</w:t>
      </w:r>
      <w:bookmarkStart w:id="14" w:name="_Hlk125631232"/>
      <w:r>
        <w:rPr>
          <w:rFonts w:hint="eastAsia"/>
        </w:rPr>
        <w:t>计划管理、实施管理、信息管理、监督检查</w:t>
      </w:r>
      <w:bookmarkEnd w:id="14"/>
      <w:r>
        <w:rPr>
          <w:rFonts w:hint="eastAsia"/>
        </w:rPr>
        <w:t>等环节都做出了明确的规定。项目涉及的设计单位、勘察单位、施工单位、监理单位对项目的全方位管理都有章可循，并取得了良好的效果。此项目实施了绩效管理（设定目标、监控、绩效自评）的全覆盖，开展了最终绩效评价，使得项目绩效管理工作伴随了项目实施的全过程。</w:t>
      </w:r>
    </w:p>
    <w:p>
      <w:pPr>
        <w:pStyle w:val="4"/>
        <w:numPr>
          <w:ilvl w:val="0"/>
          <w:numId w:val="3"/>
        </w:numPr>
        <w:ind w:firstLine="643"/>
      </w:pPr>
      <w:r>
        <w:rPr>
          <w:rFonts w:hint="eastAsia"/>
        </w:rPr>
        <w:t>存在的问题及原因分析</w:t>
      </w:r>
    </w:p>
    <w:p>
      <w:pPr>
        <w:ind w:firstLine="560"/>
        <w:rPr>
          <w:rFonts w:hint="eastAsia"/>
        </w:rPr>
      </w:pPr>
      <w:r>
        <w:rPr>
          <w:rFonts w:hint="eastAsia"/>
        </w:rPr>
        <w:t>1.</w:t>
      </w:r>
      <w:r>
        <w:t>项目绩效管理存在改善的空间。</w:t>
      </w:r>
      <w:r>
        <w:rPr>
          <w:rFonts w:hint="eastAsia"/>
        </w:rPr>
        <w:t>此次</w:t>
      </w:r>
      <w:r>
        <w:t>提交绩效评价佐证材料普遍存在的问题：一是对于项目开展的进度、资金使用效果和效益，缺少明确的数 据、文件或现场图片等材料支撑。二是缺少对项目开展进行必要的监督检查的材料。三是对项目开展中出现的问题缺少说明，例如此次疫情造成资金支付进度慢，疫情结束后没有做好如何开展工作的计划。四是缺少明确的数据对预期应实现的效果进行说明。</w:t>
      </w:r>
    </w:p>
    <w:p>
      <w:pPr>
        <w:ind w:firstLine="560"/>
        <w:rPr>
          <w:rFonts w:hint="eastAsia"/>
        </w:rPr>
      </w:pPr>
      <w:r>
        <w:rPr>
          <w:rFonts w:hint="eastAsia"/>
        </w:rPr>
        <w:t>2.项目预算执行率略有欠缺，成本指标中采购费用超出预期指标值设定。原因是年初项目投资概算不精准导致偏差，绩效目标设置存在一定出入。</w:t>
      </w:r>
    </w:p>
    <w:p>
      <w:pPr>
        <w:pStyle w:val="3"/>
        <w:ind w:firstLine="643"/>
      </w:pPr>
      <w:r>
        <w:rPr>
          <w:rFonts w:hint="eastAsia"/>
        </w:rPr>
        <w:t>七、有关建议</w:t>
      </w:r>
    </w:p>
    <w:p>
      <w:pPr>
        <w:ind w:firstLine="560"/>
        <w:rPr>
          <w:rFonts w:hint="eastAsia"/>
        </w:rPr>
      </w:pPr>
      <w:r>
        <w:rPr>
          <w:rFonts w:hint="eastAsia"/>
        </w:rPr>
        <w:t>（一）</w:t>
      </w:r>
      <w:r>
        <w:t xml:space="preserve">提高人员全面预算绩效目标管理意识 </w:t>
      </w:r>
    </w:p>
    <w:p>
      <w:pPr>
        <w:ind w:firstLine="560"/>
        <w:rPr>
          <w:rFonts w:hint="eastAsia"/>
        </w:rPr>
      </w:pPr>
      <w:r>
        <w:t xml:space="preserve">《中共中央国务院关于全面实施预算绩效管理的意见》明确规定： “绩效目标设置作为预算安排的前置条件，加强绩效目标审核，将绩效目标与预算同步批复下达。各级政府和各部门各单位对绩效目标实现程度和预算执行进度实行‘双监控’，发现问题要及时纠正，确保绩效目标如期保质 保量实现”。提高人员绩效管理业务知识是做好财政专项资金绩效自评工作不可缺少的条件。省文化和旅游厅应提高部门绩效评价水平并与各地市主管文化和旅游部门协调，以此次评价工作为契机通过会议、专题培训、文件下达、宣贯政策等形式，持续提高部门、地市文化和旅游专项资金使用单位的绩效目标管理意识。 </w:t>
      </w:r>
    </w:p>
    <w:p>
      <w:pPr>
        <w:ind w:firstLine="560"/>
        <w:rPr>
          <w:rFonts w:hint="eastAsia"/>
        </w:rPr>
      </w:pPr>
      <w:r>
        <w:t>（二）加强资金后续工作计划，完善项</w:t>
      </w:r>
      <w:r>
        <w:rPr>
          <w:rFonts w:hint="eastAsia"/>
        </w:rPr>
        <w:t>目管理制度。</w:t>
      </w:r>
    </w:p>
    <w:p>
      <w:pPr>
        <w:ind w:firstLine="560"/>
      </w:pPr>
      <w:r>
        <w:rPr>
          <w:rFonts w:hint="eastAsia"/>
        </w:rPr>
        <w:t>充分考虑项目实施年度可能预见发生的各种影响项目实施的不确定因素，尽量做到计划阶段就规避风险。并提升单位项目投资概算编制能力，尽量做到项目预算与实际执行出入降到最低。</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ind w:firstLine="560"/>
      </w:pP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866C0"/>
    <w:rsid w:val="001B1CE6"/>
    <w:rsid w:val="002F4BE9"/>
    <w:rsid w:val="008542B8"/>
    <w:rsid w:val="00A2117A"/>
    <w:rsid w:val="00B22D89"/>
    <w:rsid w:val="00DF75AA"/>
    <w:rsid w:val="034D575F"/>
    <w:rsid w:val="069D0D58"/>
    <w:rsid w:val="0A09114C"/>
    <w:rsid w:val="0EB47627"/>
    <w:rsid w:val="10C307A8"/>
    <w:rsid w:val="122A27E8"/>
    <w:rsid w:val="16DF1526"/>
    <w:rsid w:val="18F55A61"/>
    <w:rsid w:val="1F473D48"/>
    <w:rsid w:val="25BC3525"/>
    <w:rsid w:val="27A6362B"/>
    <w:rsid w:val="2BDB394E"/>
    <w:rsid w:val="2DE06626"/>
    <w:rsid w:val="2FFB47AD"/>
    <w:rsid w:val="30FB574C"/>
    <w:rsid w:val="33552EC1"/>
    <w:rsid w:val="34FF57B5"/>
    <w:rsid w:val="351D2D97"/>
    <w:rsid w:val="38984C7D"/>
    <w:rsid w:val="3A2023E8"/>
    <w:rsid w:val="3BF8540C"/>
    <w:rsid w:val="3C302BA1"/>
    <w:rsid w:val="3E507B1A"/>
    <w:rsid w:val="3FE072E1"/>
    <w:rsid w:val="41AF3A91"/>
    <w:rsid w:val="43DF07B5"/>
    <w:rsid w:val="43F726EC"/>
    <w:rsid w:val="470D64BA"/>
    <w:rsid w:val="4D876A6F"/>
    <w:rsid w:val="520866C0"/>
    <w:rsid w:val="53367B74"/>
    <w:rsid w:val="54911820"/>
    <w:rsid w:val="54F96C19"/>
    <w:rsid w:val="57A538F9"/>
    <w:rsid w:val="597A4C6F"/>
    <w:rsid w:val="5B166426"/>
    <w:rsid w:val="5B221BBF"/>
    <w:rsid w:val="5C1B293F"/>
    <w:rsid w:val="5E904C01"/>
    <w:rsid w:val="67F84DF7"/>
    <w:rsid w:val="692106ED"/>
    <w:rsid w:val="69877AC6"/>
    <w:rsid w:val="6D1D6518"/>
    <w:rsid w:val="6D2040AE"/>
    <w:rsid w:val="77445D79"/>
    <w:rsid w:val="792E266E"/>
    <w:rsid w:val="79F272A5"/>
    <w:rsid w:val="7A356B59"/>
    <w:rsid w:val="7AE83BC7"/>
    <w:rsid w:val="7CEB4045"/>
    <w:rsid w:val="7D072D78"/>
    <w:rsid w:val="7E1E4BE4"/>
    <w:rsid w:val="7ED64136"/>
    <w:rsid w:val="7FB34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link w:val="14"/>
    <w:qFormat/>
    <w:uiPriority w:val="9"/>
    <w:pPr>
      <w:keepNext/>
      <w:keepLines/>
      <w:ind w:firstLine="883"/>
      <w:outlineLvl w:val="2"/>
    </w:pPr>
    <w:rPr>
      <w:b/>
      <w:bCs/>
      <w:kern w:val="0"/>
      <w:szCs w:val="32"/>
    </w:rPr>
  </w:style>
  <w:style w:type="character" w:default="1" w:styleId="11">
    <w:name w:val="Default Paragraph Font"/>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13"/>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uiPriority w:val="0"/>
    <w:rPr>
      <w:rFonts w:ascii="Times New Roman" w:hAnsi="Times New Roman"/>
      <w:sz w:val="24"/>
    </w:rPr>
  </w:style>
  <w:style w:type="character" w:styleId="12">
    <w:name w:val="Hyperlink"/>
    <w:basedOn w:val="11"/>
    <w:uiPriority w:val="0"/>
    <w:rPr>
      <w:color w:val="0000FF"/>
      <w:u w:val="single"/>
    </w:rPr>
  </w:style>
  <w:style w:type="character" w:customStyle="1" w:styleId="13">
    <w:name w:val="批注框文本 Char"/>
    <w:basedOn w:val="11"/>
    <w:link w:val="7"/>
    <w:qFormat/>
    <w:uiPriority w:val="0"/>
    <w:rPr>
      <w:rFonts w:ascii="仿宋_GB2312" w:hAnsi="仿宋_GB2312" w:eastAsia="仿宋_GB2312"/>
      <w:kern w:val="2"/>
      <w:sz w:val="18"/>
      <w:szCs w:val="18"/>
    </w:rPr>
  </w:style>
  <w:style w:type="character" w:customStyle="1" w:styleId="14">
    <w:name w:val="标题 3 Char"/>
    <w:basedOn w:val="11"/>
    <w:link w:val="2"/>
    <w:uiPriority w:val="9"/>
    <w:rPr>
      <w:rFonts w:ascii="仿宋_GB2312" w:hAnsi="仿宋_GB2312" w:eastAsia="仿宋_GB2312"/>
      <w:b/>
      <w:bCs/>
      <w:sz w:val="28"/>
      <w:szCs w:val="32"/>
    </w:rPr>
  </w:style>
  <w:style w:type="paragraph" w:styleId="15">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驿动灵犀</Company>
  <Pages>24</Pages>
  <Words>2035</Words>
  <Characters>11601</Characters>
  <Lines>96</Lines>
  <Paragraphs>27</Paragraphs>
  <TotalTime>124</TotalTime>
  <ScaleCrop>false</ScaleCrop>
  <LinksUpToDate>false</LinksUpToDate>
  <CharactersWithSpaces>13609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2023-03-02T07:36:00Z</dcterms:created>
  <dc:creator>米兔</dc:creator>
  <cp:lastModifiedBy>Administrator</cp:lastModifiedBy>
  <dcterms:modified xsi:type="dcterms:W3CDTF">2024-08-13T08:46:14Z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