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2022年中央财政医疗服务与保障能力提升项目支出</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4"/>
        <w:ind w:firstLine="562"/>
        <w:jc w:val="center"/>
      </w:pPr>
    </w:p>
    <w:p>
      <w:pPr>
        <w:spacing w:line="500" w:lineRule="exact"/>
        <w:ind w:firstLine="602"/>
        <w:rPr>
          <w:rFonts w:ascii="黑体" w:hAnsi="Times New Roman" w:eastAsia="黑体"/>
          <w:b/>
          <w:color w:val="000000"/>
          <w:sz w:val="30"/>
          <w:szCs w:val="30"/>
        </w:rPr>
      </w:pPr>
      <w:r>
        <w:rPr>
          <w:rFonts w:hint="eastAsia" w:ascii="黑体" w:hAnsi="Times New Roman" w:eastAsia="黑体"/>
          <w:b/>
          <w:color w:val="000000"/>
          <w:sz w:val="30"/>
          <w:szCs w:val="30"/>
        </w:rPr>
        <w:t>项目名称：2022年中央财政医疗服务与保障能力提升项目</w:t>
      </w:r>
    </w:p>
    <w:p>
      <w:pPr>
        <w:spacing w:line="500" w:lineRule="exact"/>
        <w:ind w:firstLine="602"/>
        <w:rPr>
          <w:rFonts w:ascii="黑体" w:hAnsi="Times New Roman" w:eastAsia="黑体"/>
          <w:b/>
          <w:color w:val="000000"/>
          <w:sz w:val="30"/>
          <w:szCs w:val="30"/>
        </w:rPr>
      </w:pPr>
      <w:r>
        <w:rPr>
          <w:rFonts w:hint="eastAsia" w:ascii="黑体" w:hAnsi="Times New Roman" w:eastAsia="黑体"/>
          <w:b/>
          <w:color w:val="000000"/>
          <w:sz w:val="30"/>
          <w:szCs w:val="30"/>
        </w:rPr>
        <w:t>实施单位：洛浦县医疗保障局</w:t>
      </w:r>
    </w:p>
    <w:p>
      <w:pPr>
        <w:spacing w:line="500" w:lineRule="exact"/>
        <w:ind w:firstLine="602"/>
        <w:rPr>
          <w:rFonts w:ascii="黑体" w:hAnsi="Times New Roman" w:eastAsia="黑体"/>
          <w:b/>
          <w:color w:val="000000"/>
          <w:sz w:val="30"/>
          <w:szCs w:val="30"/>
        </w:rPr>
      </w:pPr>
      <w:r>
        <w:rPr>
          <w:rFonts w:hint="eastAsia" w:ascii="黑体" w:hAnsi="Times New Roman" w:eastAsia="黑体"/>
          <w:b/>
          <w:color w:val="000000"/>
          <w:sz w:val="30"/>
          <w:szCs w:val="30"/>
        </w:rPr>
        <w:t>主管部门：洛浦县财政局</w:t>
      </w:r>
    </w:p>
    <w:p>
      <w:pPr>
        <w:spacing w:line="500" w:lineRule="exact"/>
        <w:ind w:firstLine="602"/>
        <w:rPr>
          <w:rFonts w:ascii="黑体" w:hAnsi="Times New Roman" w:eastAsia="黑体"/>
          <w:b/>
          <w:color w:val="000000"/>
          <w:sz w:val="30"/>
          <w:szCs w:val="30"/>
        </w:rPr>
      </w:pPr>
      <w:r>
        <w:rPr>
          <w:rFonts w:hint="eastAsia" w:ascii="黑体" w:hAnsi="Times New Roman" w:eastAsia="黑体"/>
          <w:b/>
          <w:color w:val="000000"/>
          <w:sz w:val="30"/>
          <w:szCs w:val="30"/>
        </w:rPr>
        <w:t>项目负责人：马晓泉</w:t>
      </w:r>
    </w:p>
    <w:p>
      <w:pPr>
        <w:spacing w:line="500" w:lineRule="exact"/>
        <w:ind w:firstLine="602"/>
        <w:rPr>
          <w:rFonts w:ascii="黑体" w:hAnsi="Times New Roman" w:eastAsia="黑体"/>
          <w:b/>
          <w:color w:val="000000"/>
          <w:sz w:val="30"/>
          <w:szCs w:val="30"/>
        </w:rPr>
      </w:pPr>
      <w:r>
        <w:rPr>
          <w:rFonts w:hint="eastAsia" w:ascii="黑体" w:hAnsi="Times New Roman" w:eastAsia="黑体"/>
          <w:b/>
          <w:color w:val="000000"/>
          <w:sz w:val="30"/>
          <w:szCs w:val="30"/>
        </w:rPr>
        <w:t>填报时间：2023年2月22日</w:t>
      </w:r>
    </w:p>
    <w:p>
      <w:pPr>
        <w:pStyle w:val="2"/>
        <w:ind w:firstLine="0" w:firstLineChars="0"/>
      </w:pPr>
    </w:p>
    <w:p>
      <w:pPr>
        <w:ind w:firstLine="560"/>
      </w:pPr>
    </w:p>
    <w:p>
      <w:pPr>
        <w:ind w:firstLine="0" w:firstLineChars="0"/>
        <w:jc w:val="center"/>
        <w:rPr>
          <w:b/>
          <w:bCs/>
          <w:sz w:val="40"/>
          <w:szCs w:val="36"/>
        </w:rPr>
      </w:pPr>
      <w:r>
        <w:rPr>
          <w:rFonts w:hint="eastAsia"/>
          <w:b/>
          <w:bCs/>
          <w:sz w:val="40"/>
          <w:szCs w:val="36"/>
        </w:rPr>
        <w:t>2022年中央财政医疗服务与保障能力提升项目支出绩效评价报告</w:t>
      </w:r>
    </w:p>
    <w:p>
      <w:pPr>
        <w:pStyle w:val="3"/>
        <w:ind w:firstLine="643"/>
      </w:pPr>
      <w:r>
        <w:rPr>
          <w:rFonts w:hint="eastAsia"/>
        </w:rPr>
        <w:t>一、基本情况</w:t>
      </w:r>
    </w:p>
    <w:p>
      <w:pPr>
        <w:pStyle w:val="2"/>
        <w:ind w:firstLine="643"/>
      </w:pPr>
      <w:r>
        <w:rPr>
          <w:rFonts w:hint="eastAsia"/>
        </w:rPr>
        <w:t>（一）项目概况</w:t>
      </w:r>
    </w:p>
    <w:p>
      <w:pPr>
        <w:pStyle w:val="4"/>
        <w:ind w:firstLine="562"/>
      </w:pPr>
      <w:r>
        <w:rPr>
          <w:rFonts w:hint="eastAsia"/>
        </w:rPr>
        <w:t>1.项目背景</w:t>
      </w:r>
    </w:p>
    <w:p>
      <w:pPr>
        <w:ind w:firstLine="560"/>
        <w:rPr>
          <w:rFonts w:hint="eastAsia" w:eastAsia="仿宋GB2312" w:asciiTheme="minorEastAsia" w:hAnsiTheme="minorEastAsia"/>
          <w:szCs w:val="32"/>
        </w:rPr>
      </w:pPr>
      <w:r>
        <w:rPr>
          <w:rFonts w:hint="eastAsia" w:eastAsia="仿宋GB2312" w:asciiTheme="minorEastAsia" w:hAnsiTheme="minorEastAsia"/>
          <w:szCs w:val="32"/>
        </w:rPr>
        <w:t>项目实施背景：坚持以习近平新时代中国特色社会主义思想为指导坚定不移贯彻新发展理念，坚持新时代卫生健康工作方针，深入贯彻落实全省卫生健康高质量发展大会工作要求，大力实施整体提升卫生健康水平攻坚行动计划，按照以基层为重点的原则，继续重点加强县级综合医院服务能力建设，发挥县级综合医院县域“龙头”作用，提升人民群众看病就医便捷性和可及性。按照“统一覆盖范围、统一筹资政策、统一保障待遇、统一医保目录、统一定点协议管理、统一基金管理”要求，于</w:t>
      </w:r>
      <w:r>
        <w:rPr>
          <w:rFonts w:eastAsia="仿宋GB2312" w:asciiTheme="minorEastAsia" w:hAnsiTheme="minorEastAsia"/>
          <w:szCs w:val="32"/>
        </w:rPr>
        <w:t>20</w:t>
      </w:r>
      <w:r>
        <w:rPr>
          <w:rFonts w:hint="eastAsia" w:eastAsia="仿宋GB2312" w:asciiTheme="minorEastAsia" w:hAnsiTheme="minorEastAsia"/>
          <w:szCs w:val="32"/>
        </w:rPr>
        <w:t>22年</w:t>
      </w:r>
      <w:r>
        <w:rPr>
          <w:rFonts w:eastAsia="仿宋GB2312" w:asciiTheme="minorEastAsia" w:hAnsiTheme="minorEastAsia"/>
          <w:szCs w:val="32"/>
        </w:rPr>
        <w:t>1</w:t>
      </w:r>
      <w:r>
        <w:rPr>
          <w:rFonts w:hint="eastAsia" w:eastAsia="仿宋GB2312" w:asciiTheme="minorEastAsia" w:hAnsiTheme="minorEastAsia"/>
          <w:szCs w:val="32"/>
        </w:rPr>
        <w:t>月24日全面实施统一的2022年中央医疗服务于保障能力提升预算，实现城乡一体化医疗保险管理服务体系，确保全地区城乡居民公平享受医疗保险待遇。</w:t>
      </w:r>
    </w:p>
    <w:p>
      <w:pPr>
        <w:ind w:firstLine="560"/>
        <w:rPr>
          <w:rFonts w:eastAsia="仿宋GB2312" w:asciiTheme="minorEastAsia" w:hAnsiTheme="minorEastAsia"/>
          <w:szCs w:val="32"/>
        </w:rPr>
      </w:pPr>
      <w:r>
        <w:rPr>
          <w:rFonts w:hint="eastAsia" w:eastAsia="仿宋GB2312" w:asciiTheme="minorEastAsia" w:hAnsiTheme="minorEastAsia"/>
          <w:szCs w:val="32"/>
        </w:rPr>
        <w:t>（一）坚持全覆盖、保基本、多层次、可持续，筹资和保障水平与地区社会经济发展相适应的动态调整原则。</w:t>
      </w:r>
    </w:p>
    <w:p>
      <w:pPr>
        <w:ind w:firstLine="560"/>
        <w:rPr>
          <w:rFonts w:eastAsia="仿宋GB2312" w:asciiTheme="minorEastAsia" w:hAnsiTheme="minorEastAsia"/>
          <w:szCs w:val="32"/>
        </w:rPr>
      </w:pPr>
      <w:r>
        <w:rPr>
          <w:rFonts w:hint="eastAsia" w:eastAsia="仿宋GB2312" w:asciiTheme="minorEastAsia" w:hAnsiTheme="minorEastAsia"/>
          <w:szCs w:val="32"/>
        </w:rPr>
        <w:t>（二）坚持地级统筹、分级核算、以收定支、收支平衡、略有结余、基金调剂、风险共担的原则。</w:t>
      </w:r>
    </w:p>
    <w:p>
      <w:pPr>
        <w:ind w:firstLine="560"/>
        <w:rPr>
          <w:rFonts w:eastAsia="仿宋GB2312" w:asciiTheme="minorEastAsia" w:hAnsiTheme="minorEastAsia"/>
          <w:szCs w:val="32"/>
        </w:rPr>
      </w:pPr>
      <w:r>
        <w:rPr>
          <w:rFonts w:hint="eastAsia" w:eastAsia="仿宋GB2312" w:asciiTheme="minorEastAsia" w:hAnsiTheme="minorEastAsia"/>
          <w:szCs w:val="32"/>
        </w:rPr>
        <w:t>（三）坚持个人缴费参保与政府补助相结合、权利与义务相对应的原则。</w:t>
      </w:r>
    </w:p>
    <w:p>
      <w:pPr>
        <w:ind w:firstLine="560"/>
        <w:rPr>
          <w:rFonts w:eastAsia="仿宋GB2312" w:asciiTheme="minorEastAsia" w:hAnsiTheme="minorEastAsia"/>
          <w:szCs w:val="32"/>
        </w:rPr>
      </w:pPr>
      <w:r>
        <w:rPr>
          <w:rFonts w:hint="eastAsia" w:eastAsia="仿宋GB2312" w:asciiTheme="minorEastAsia" w:hAnsiTheme="minorEastAsia"/>
          <w:szCs w:val="32"/>
        </w:rPr>
        <w:t>（四）坚持总额控制预算管理以提高医保基金使用效率的原则。</w:t>
      </w:r>
    </w:p>
    <w:p>
      <w:pPr>
        <w:ind w:firstLine="560"/>
        <w:rPr>
          <w:rFonts w:hint="eastAsia" w:eastAsia="仿宋GB2312" w:asciiTheme="minorEastAsia" w:hAnsiTheme="minorEastAsia"/>
          <w:szCs w:val="32"/>
        </w:rPr>
      </w:pPr>
      <w:r>
        <w:rPr>
          <w:rFonts w:hint="eastAsia" w:eastAsia="仿宋GB2312" w:asciiTheme="minorEastAsia" w:hAnsiTheme="minorEastAsia"/>
          <w:szCs w:val="32"/>
        </w:rPr>
        <w:t>（五）坚持城乡居民基本保险与城镇职工基本医疗保险统筹兼顾、协调发展的原则。</w:t>
      </w:r>
    </w:p>
    <w:p>
      <w:pPr>
        <w:ind w:firstLine="560"/>
        <w:rPr>
          <w:rFonts w:eastAsia="仿宋GB2312" w:asciiTheme="minorEastAsia" w:hAnsiTheme="minorEastAsia"/>
          <w:szCs w:val="32"/>
        </w:rPr>
      </w:pPr>
      <w:r>
        <w:rPr>
          <w:rFonts w:hint="eastAsia" w:eastAsia="仿宋GB2312" w:asciiTheme="minorEastAsia" w:hAnsiTheme="minorEastAsia"/>
          <w:szCs w:val="32"/>
        </w:rPr>
        <w:t>此项资金的运用进一步提升了医保信息化水平，加强了网络信息安全、基础设施等方面建设，夯实了技术基础，切实保障医保信息系统高效、安全运行，提高数据采集质量和速度。加强了打击欺诈骗保工作力度，切实保障医保基金合理有效使用，加快推进医保支付方式改革和药品医用耗材集中带量采购工作；有效提升综合监管、宣传引导、经办服务等医疗保障服务能力。</w:t>
      </w:r>
    </w:p>
    <w:p>
      <w:pPr>
        <w:pStyle w:val="4"/>
        <w:ind w:firstLine="562"/>
      </w:pPr>
      <w:r>
        <w:rPr>
          <w:rFonts w:hint="eastAsia"/>
        </w:rPr>
        <w:t>2.主要内容</w:t>
      </w:r>
    </w:p>
    <w:p>
      <w:pPr>
        <w:ind w:firstLine="560"/>
        <w:rPr>
          <w:rFonts w:eastAsia="仿宋GB2312" w:cs="仿宋_GB2312" w:asciiTheme="minorEastAsia" w:hAnsiTheme="minorEastAsia"/>
          <w:szCs w:val="32"/>
        </w:rPr>
      </w:pPr>
      <w:r>
        <w:rPr>
          <w:rFonts w:hint="eastAsia" w:eastAsia="仿宋GB2312" w:cs="仿宋_GB2312" w:asciiTheme="minorEastAsia" w:hAnsiTheme="minorEastAsia"/>
          <w:szCs w:val="32"/>
        </w:rPr>
        <w:t>2022年中央医疗服务与保障能力提升预算的文件，资金下达后，各单位要按照下达的批复及时组织资金（项目）的实施，加强资金管理，专款专用、不得挪用、挤占：涉及政府采购、招投标的事项，必须严格按照相关规定执行。各级卫生健康、医疗保障、中医药管理部门应按照全面实施预算绩效管理的要求，科学设定本地区年度绩效目标指标，强化绩效目标管理，做好绩效监控和绩效评价，建立健全绩效评价机制，做好绩效管理信息公开工作。</w:t>
      </w:r>
      <w:r>
        <w:rPr>
          <w:rFonts w:eastAsia="仿宋GB2312" w:cs="仿宋_GB2312" w:asciiTheme="minorEastAsia" w:hAnsiTheme="minorEastAsia"/>
          <w:szCs w:val="32"/>
        </w:rPr>
        <w:t>此项资金全部纳入直达资金管理，并纳入自治区财政直达资金监控系统全程监测。</w:t>
      </w:r>
      <w:r>
        <w:rPr>
          <w:rFonts w:hint="eastAsia" w:eastAsia="仿宋GB2312" w:cs="仿宋_GB2312" w:asciiTheme="minorEastAsia" w:hAnsiTheme="minorEastAsia"/>
          <w:szCs w:val="32"/>
        </w:rPr>
        <w:t>本项目为有效保障我县医保经办机构服务能力，加快支出进度，切实做好我县提升医保信息化水平，加强网络，信息安全，基础设施等方面建设。</w:t>
      </w:r>
    </w:p>
    <w:p>
      <w:pPr>
        <w:pStyle w:val="4"/>
        <w:ind w:firstLine="562"/>
        <w:jc w:val="left"/>
      </w:pPr>
      <w:r>
        <w:rPr>
          <w:rFonts w:hint="eastAsia"/>
        </w:rPr>
        <w:t>3.实施情况</w:t>
      </w:r>
    </w:p>
    <w:p>
      <w:pPr>
        <w:ind w:firstLine="560"/>
        <w:jc w:val="left"/>
      </w:pPr>
      <w:r>
        <w:t>实施主体：</w:t>
      </w:r>
      <w:r>
        <w:rPr>
          <w:rFonts w:hint="eastAsia" w:eastAsia="仿宋GB2312" w:cs="仿宋_GB2312" w:asciiTheme="minorEastAsia" w:hAnsiTheme="minorEastAsia"/>
          <w:szCs w:val="32"/>
        </w:rPr>
        <w:t>洛浦县医疗保障局</w:t>
      </w:r>
    </w:p>
    <w:p>
      <w:pPr>
        <w:ind w:firstLine="560"/>
      </w:pPr>
      <w:r>
        <w:t>实施时间：</w:t>
      </w:r>
      <w:r>
        <w:rPr>
          <w:rFonts w:hint="eastAsia"/>
        </w:rPr>
        <w:t>本项目实施期限为2022年01月—2022年12月。</w:t>
      </w:r>
    </w:p>
    <w:p>
      <w:pPr>
        <w:ind w:firstLine="560"/>
      </w:pPr>
      <w:r>
        <w:t>实施</w:t>
      </w:r>
      <w:r>
        <w:rPr>
          <w:rFonts w:hint="eastAsia"/>
        </w:rPr>
        <w:t>情况</w:t>
      </w:r>
      <w:r>
        <w:t>：</w:t>
      </w:r>
      <w:r>
        <w:rPr>
          <w:rFonts w:hint="eastAsia"/>
        </w:rPr>
        <w:t>截至</w:t>
      </w:r>
      <w:bookmarkStart w:id="14" w:name="_GoBack"/>
      <w:bookmarkEnd w:id="14"/>
      <w:r>
        <w:rPr>
          <w:rFonts w:hint="eastAsia"/>
        </w:rPr>
        <w:t>12月31日，该项目到位资金7.00万元，实际执行7.00万元，其中电话费0.40万元，公务用车加油费1.70万元，代办人员补助费用0.94万元，医疗服务保障能力提升人员培训费0.13万元，医疗服务保障能力提升DRG支付方式改革费用3.83万元。项目实际于2022年12月完成，通过实施本项目，推进了全民参保计划，确保了创新居民基本医疗保险参保人员的医疗待遇落实；全民落实大病保险制度，减轻了参保人员的经济负担，缓解社会矛盾；</w:t>
      </w:r>
    </w:p>
    <w:p>
      <w:pPr>
        <w:pStyle w:val="4"/>
        <w:ind w:firstLine="562"/>
      </w:pPr>
      <w:r>
        <w:rPr>
          <w:rFonts w:hint="eastAsia"/>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rPr>
        <w:t>7.00</w:t>
      </w:r>
      <w:r>
        <w:t>万元，</w:t>
      </w:r>
      <w:r>
        <w:rPr>
          <w:rFonts w:hint="eastAsia"/>
        </w:rPr>
        <w:t>资金来源为中央直达资金，</w:t>
      </w:r>
      <w:r>
        <w:t>其中</w:t>
      </w:r>
      <w:r>
        <w:rPr>
          <w:rFonts w:hint="eastAsia"/>
        </w:rPr>
        <w:t>：</w:t>
      </w:r>
      <w:r>
        <w:t>财政资金</w:t>
      </w:r>
      <w:r>
        <w:rPr>
          <w:rFonts w:hint="eastAsia"/>
        </w:rPr>
        <w:t>7.00</w:t>
      </w:r>
      <w:r>
        <w:t>万元，其他资金</w:t>
      </w:r>
      <w:r>
        <w:rPr>
          <w:rFonts w:hint="eastAsia"/>
        </w:rPr>
        <w:t>0</w:t>
      </w:r>
      <w:r>
        <w:t>万元，</w:t>
      </w:r>
      <w:r>
        <w:rPr>
          <w:rFonts w:hint="eastAsia"/>
        </w:rPr>
        <w:t>2022年</w:t>
      </w:r>
      <w:r>
        <w:t>实际收到预算资金</w:t>
      </w:r>
      <w:r>
        <w:rPr>
          <w:rFonts w:hint="eastAsia"/>
        </w:rPr>
        <w:t>7.00</w:t>
      </w:r>
      <w:r>
        <w:t>万元，预算资金到位率为</w:t>
      </w:r>
      <w:r>
        <w:rPr>
          <w:rFonts w:hint="eastAsia"/>
        </w:rPr>
        <w:t>100</w:t>
      </w:r>
      <w:r>
        <w:t xml:space="preserve"> %。</w:t>
      </w:r>
    </w:p>
    <w:p>
      <w:pPr>
        <w:ind w:firstLine="560"/>
      </w:pPr>
      <w:r>
        <w:rPr>
          <w:rFonts w:hint="eastAsia"/>
        </w:rPr>
        <w:t>（2）项目资金实际使用情况分析</w:t>
      </w:r>
    </w:p>
    <w:p>
      <w:pPr>
        <w:ind w:firstLine="560"/>
      </w:pPr>
      <w:r>
        <w:rPr>
          <w:rFonts w:hint="eastAsia"/>
        </w:rPr>
        <w:t>本项目实际支付资金7.00万元，预算执行率100</w:t>
      </w:r>
      <w:r>
        <w:t>%</w:t>
      </w:r>
      <w:r>
        <w:rPr>
          <w:rFonts w:hint="eastAsia"/>
        </w:rPr>
        <w:t>。本项目资金主要用于支付实际执行7.00万元，其中电话费0.40万元，公务用车加油费1.70万元，代办人员补助费用0.94万元，医疗服务保障能力提升人员培训费0.13万元，医疗服务保障能力提升DRG支付方式改革费用3.83万元。</w:t>
      </w:r>
    </w:p>
    <w:p>
      <w:pPr>
        <w:pStyle w:val="2"/>
        <w:numPr>
          <w:ilvl w:val="0"/>
          <w:numId w:val="2"/>
        </w:numPr>
        <w:ind w:firstLine="643"/>
      </w:pPr>
      <w:r>
        <w:rPr>
          <w:rFonts w:hint="eastAsia"/>
        </w:rPr>
        <w:t>项目绩效目标</w:t>
      </w:r>
    </w:p>
    <w:p>
      <w:pPr>
        <w:pStyle w:val="4"/>
        <w:ind w:firstLine="562"/>
      </w:pPr>
      <w:r>
        <w:rPr>
          <w:rFonts w:hint="eastAsia"/>
        </w:rPr>
        <w:t>1.总体目标</w:t>
      </w:r>
    </w:p>
    <w:p>
      <w:pPr>
        <w:pStyle w:val="4"/>
        <w:ind w:firstLine="560"/>
        <w:rPr>
          <w:b w:val="0"/>
          <w:bCs w:val="0"/>
          <w:kern w:val="2"/>
          <w:szCs w:val="24"/>
        </w:rPr>
      </w:pPr>
      <w:r>
        <w:rPr>
          <w:rFonts w:hint="eastAsia"/>
          <w:b w:val="0"/>
          <w:bCs w:val="0"/>
          <w:kern w:val="2"/>
          <w:szCs w:val="24"/>
        </w:rPr>
        <w:t>项目预算资金为7万元，主要用途为：</w:t>
      </w:r>
    </w:p>
    <w:p>
      <w:pPr>
        <w:pStyle w:val="4"/>
        <w:ind w:firstLine="560"/>
        <w:rPr>
          <w:b w:val="0"/>
          <w:bCs w:val="0"/>
          <w:kern w:val="2"/>
          <w:szCs w:val="24"/>
        </w:rPr>
      </w:pPr>
      <w:r>
        <w:rPr>
          <w:rFonts w:hint="eastAsia"/>
          <w:b w:val="0"/>
          <w:bCs w:val="0"/>
          <w:kern w:val="2"/>
          <w:szCs w:val="24"/>
        </w:rPr>
        <w:t>（1）召开医药价格工作会议，政策传达会议或培训次数2次以上，代办人员3人，购置医药价格检测系统硬件设施1批，计划购置设备验收合格率100%、检测点医疗机构数据采集率100%、资金支付及时率100%，于2022年12月完成项目；</w:t>
      </w:r>
    </w:p>
    <w:p>
      <w:pPr>
        <w:pStyle w:val="4"/>
        <w:ind w:firstLine="560"/>
        <w:rPr>
          <w:b w:val="0"/>
          <w:bCs w:val="0"/>
          <w:kern w:val="2"/>
          <w:szCs w:val="24"/>
        </w:rPr>
      </w:pPr>
      <w:r>
        <w:rPr>
          <w:rFonts w:hint="eastAsia"/>
          <w:b w:val="0"/>
          <w:bCs w:val="0"/>
          <w:kern w:val="2"/>
          <w:szCs w:val="24"/>
        </w:rPr>
        <w:t xml:space="preserve">（2）积极推进全民参保计划，确保创新居民基本医疗保险参保人员的医疗待遇落实；全民落实大病保险制度，减轻参保人员的经济负担，缓解社会矛盾；通过本项目的实施，持续动态监测医药价格，有效提升医保信息化水平，争取使参保群众和医疗机构满意度达到95%以上。 </w:t>
      </w:r>
    </w:p>
    <w:p>
      <w:pPr>
        <w:pStyle w:val="4"/>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（1）产出指标</w:t>
      </w:r>
    </w:p>
    <w:p>
      <w:pPr>
        <w:ind w:firstLine="560"/>
      </w:pPr>
      <w:r>
        <w:rPr>
          <w:rFonts w:hint="eastAsia"/>
        </w:rPr>
        <w:t>①数量指标</w:t>
      </w:r>
    </w:p>
    <w:p>
      <w:pPr>
        <w:ind w:firstLine="560"/>
      </w:pPr>
      <w:r>
        <w:rPr>
          <w:rFonts w:hint="eastAsia"/>
        </w:rPr>
        <w:t>召开医药价格工作会议、政策传达会议或培训次数，预期指标值为</w:t>
      </w:r>
      <w:r>
        <w:t>&gt;=2次</w:t>
      </w:r>
      <w:r>
        <w:rPr>
          <w:rFonts w:hint="eastAsia"/>
        </w:rPr>
        <w:t>；</w:t>
      </w:r>
    </w:p>
    <w:p>
      <w:pPr>
        <w:ind w:firstLine="560"/>
      </w:pPr>
      <w:r>
        <w:rPr>
          <w:rFonts w:hint="eastAsia"/>
        </w:rPr>
        <w:t>代办人员人数,预期指标值为</w:t>
      </w:r>
      <w:r>
        <w:t>&gt;=3人</w:t>
      </w:r>
      <w:r>
        <w:rPr>
          <w:rFonts w:hint="eastAsia"/>
        </w:rPr>
        <w:t>；</w:t>
      </w:r>
    </w:p>
    <w:p>
      <w:pPr>
        <w:ind w:firstLine="560"/>
      </w:pPr>
      <w:r>
        <w:rPr>
          <w:rFonts w:hint="eastAsia"/>
        </w:rPr>
        <w:t>购置医药价格检测系统硬件设施批数，预期指标值为</w:t>
      </w:r>
      <w:r>
        <w:t>&gt;=1批</w:t>
      </w:r>
      <w:r>
        <w:rPr>
          <w:rFonts w:hint="eastAsia"/>
        </w:rPr>
        <w:t>；</w:t>
      </w:r>
    </w:p>
    <w:p>
      <w:pPr>
        <w:ind w:firstLine="560"/>
      </w:pPr>
      <w:r>
        <w:rPr>
          <w:rFonts w:hint="eastAsia"/>
        </w:rPr>
        <w:t>②质量指标</w:t>
      </w:r>
    </w:p>
    <w:p>
      <w:pPr>
        <w:ind w:firstLine="560"/>
      </w:pPr>
      <w:r>
        <w:rPr>
          <w:rFonts w:hint="eastAsia"/>
        </w:rPr>
        <w:t>购置设备质量验收合格率，预期指标值为=100%；</w:t>
      </w:r>
    </w:p>
    <w:p>
      <w:pPr>
        <w:ind w:firstLine="560"/>
      </w:pPr>
      <w:r>
        <w:rPr>
          <w:rFonts w:hint="eastAsia"/>
        </w:rPr>
        <w:t>监测点医疗机构数据采集率，预期指标值为=100%；</w:t>
      </w:r>
    </w:p>
    <w:p>
      <w:pPr>
        <w:ind w:firstLine="560"/>
      </w:pPr>
      <w:r>
        <w:rPr>
          <w:rFonts w:hint="eastAsia"/>
        </w:rPr>
        <w:t>③时效指标</w:t>
      </w:r>
    </w:p>
    <w:p>
      <w:pPr>
        <w:ind w:firstLine="560"/>
      </w:pPr>
      <w:r>
        <w:rPr>
          <w:rFonts w:hint="eastAsia"/>
        </w:rPr>
        <w:t>项目完成时间，预期指标值为</w:t>
      </w:r>
      <w:r>
        <w:t>2022年12月</w:t>
      </w:r>
      <w:r>
        <w:rPr>
          <w:rFonts w:hint="eastAsia"/>
        </w:rPr>
        <w:t>；</w:t>
      </w:r>
    </w:p>
    <w:p>
      <w:pPr>
        <w:ind w:firstLine="560"/>
      </w:pPr>
      <w:r>
        <w:rPr>
          <w:rFonts w:hint="eastAsia"/>
        </w:rPr>
        <w:t>资金支付及时率，预期指标值为=100%；</w:t>
      </w:r>
    </w:p>
    <w:p>
      <w:pPr>
        <w:ind w:firstLine="560"/>
      </w:pPr>
      <w:r>
        <w:rPr>
          <w:rFonts w:hint="eastAsia"/>
        </w:rPr>
        <w:t>④成本指标</w:t>
      </w:r>
    </w:p>
    <w:p>
      <w:pPr>
        <w:ind w:firstLine="560"/>
      </w:pPr>
      <w:r>
        <w:rPr>
          <w:rFonts w:hint="eastAsia"/>
        </w:rPr>
        <w:t>电话费用，预期指标值为</w:t>
      </w:r>
      <w:r>
        <w:t>&lt;=0.40万元</w:t>
      </w:r>
      <w:r>
        <w:rPr>
          <w:rFonts w:hint="eastAsia"/>
        </w:rPr>
        <w:t>；</w:t>
      </w:r>
    </w:p>
    <w:p>
      <w:pPr>
        <w:ind w:firstLine="560"/>
      </w:pPr>
      <w:r>
        <w:rPr>
          <w:rFonts w:hint="eastAsia"/>
        </w:rPr>
        <w:t>公务用车加油费，预期指标值为</w:t>
      </w:r>
      <w:r>
        <w:t>&lt;=1.7</w:t>
      </w:r>
      <w:r>
        <w:rPr>
          <w:rFonts w:hint="eastAsia"/>
        </w:rPr>
        <w:t>0</w:t>
      </w:r>
      <w:r>
        <w:t>万元</w:t>
      </w:r>
      <w:r>
        <w:rPr>
          <w:rFonts w:hint="eastAsia"/>
        </w:rPr>
        <w:t>；</w:t>
      </w:r>
    </w:p>
    <w:p>
      <w:pPr>
        <w:ind w:firstLine="560"/>
      </w:pPr>
      <w:r>
        <w:rPr>
          <w:rFonts w:hint="eastAsia"/>
        </w:rPr>
        <w:t>代办人员补助费用，预期指标值为</w:t>
      </w:r>
      <w:r>
        <w:t>&lt;=0.94万元</w:t>
      </w:r>
      <w:r>
        <w:rPr>
          <w:rFonts w:hint="eastAsia"/>
        </w:rPr>
        <w:t>；</w:t>
      </w:r>
    </w:p>
    <w:p>
      <w:pPr>
        <w:ind w:firstLine="560"/>
      </w:pPr>
      <w:r>
        <w:rPr>
          <w:rFonts w:hint="eastAsia"/>
        </w:rPr>
        <w:t>医疗服务保障能力提升人员培训费，预期指标值为</w:t>
      </w:r>
      <w:r>
        <w:t>&lt;=0.13万元</w:t>
      </w:r>
      <w:r>
        <w:rPr>
          <w:rFonts w:hint="eastAsia"/>
        </w:rPr>
        <w:t>；</w:t>
      </w:r>
    </w:p>
    <w:p>
      <w:pPr>
        <w:ind w:firstLine="560"/>
      </w:pPr>
      <w:r>
        <w:rPr>
          <w:rFonts w:hint="eastAsia"/>
        </w:rPr>
        <w:t>医疗服务保障能力提升</w:t>
      </w:r>
      <w:r>
        <w:t>DRG支付方式改革费用</w:t>
      </w:r>
      <w:r>
        <w:rPr>
          <w:rFonts w:hint="eastAsia"/>
        </w:rPr>
        <w:t>，预期指标值为</w:t>
      </w:r>
      <w:r>
        <w:t>&lt;=3.83万元</w:t>
      </w:r>
      <w:r>
        <w:rPr>
          <w:rFonts w:hint="eastAsia"/>
        </w:rPr>
        <w:t>；</w:t>
      </w:r>
    </w:p>
    <w:p>
      <w:pPr>
        <w:ind w:firstLine="560"/>
      </w:pPr>
      <w:r>
        <w:rPr>
          <w:rFonts w:hint="eastAsia"/>
        </w:rPr>
        <w:t>（2）项目效益指标:</w:t>
      </w:r>
    </w:p>
    <w:p>
      <w:pPr>
        <w:ind w:firstLine="560"/>
      </w:pPr>
      <w:r>
        <w:rPr>
          <w:rFonts w:hint="eastAsia"/>
        </w:rPr>
        <w:t>①经济效益指标</w:t>
      </w:r>
    </w:p>
    <w:p>
      <w:pPr>
        <w:pStyle w:val="2"/>
        <w:ind w:firstLine="560"/>
        <w:rPr>
          <w:rFonts w:ascii="仿宋_GB2312" w:hAnsi="仿宋_GB2312" w:eastAsia="仿宋_GB2312"/>
          <w:b w:val="0"/>
          <w:sz w:val="28"/>
        </w:rPr>
      </w:pPr>
      <w:r>
        <w:rPr>
          <w:rFonts w:ascii="仿宋_GB2312" w:hAnsi="仿宋_GB2312" w:eastAsia="仿宋_GB2312"/>
          <w:b w:val="0"/>
          <w:sz w:val="28"/>
        </w:rPr>
        <w:t>“</w:t>
      </w:r>
      <w:r>
        <w:rPr>
          <w:rFonts w:hint="eastAsia" w:ascii="仿宋_GB2312" w:hAnsi="仿宋_GB2312" w:eastAsia="仿宋_GB2312"/>
          <w:b w:val="0"/>
          <w:sz w:val="28"/>
        </w:rPr>
        <w:t>无</w:t>
      </w:r>
      <w:r>
        <w:rPr>
          <w:rFonts w:ascii="仿宋_GB2312" w:hAnsi="仿宋_GB2312" w:eastAsia="仿宋_GB2312"/>
          <w:b w:val="0"/>
          <w:sz w:val="28"/>
        </w:rPr>
        <w:t>此类</w:t>
      </w:r>
      <w:r>
        <w:rPr>
          <w:rFonts w:hint="eastAsia" w:ascii="仿宋_GB2312" w:hAnsi="仿宋_GB2312" w:eastAsia="仿宋_GB2312"/>
          <w:b w:val="0"/>
          <w:sz w:val="28"/>
        </w:rPr>
        <w:t>指标</w:t>
      </w:r>
      <w:r>
        <w:rPr>
          <w:rFonts w:ascii="仿宋_GB2312" w:hAnsi="仿宋_GB2312" w:eastAsia="仿宋_GB2312"/>
          <w:b w:val="0"/>
          <w:sz w:val="28"/>
        </w:rPr>
        <w:t>”</w:t>
      </w:r>
      <w:r>
        <w:rPr>
          <w:rFonts w:hint="eastAsia" w:ascii="仿宋_GB2312" w:hAnsi="仿宋_GB2312" w:eastAsia="仿宋_GB2312"/>
          <w:b w:val="0"/>
          <w:sz w:val="28"/>
        </w:rPr>
        <w:t>；</w:t>
      </w:r>
    </w:p>
    <w:p>
      <w:pPr>
        <w:ind w:firstLine="560"/>
      </w:pPr>
      <w:r>
        <w:rPr>
          <w:rFonts w:hint="eastAsia"/>
        </w:rPr>
        <w:t>②社会效益指标</w:t>
      </w:r>
    </w:p>
    <w:p>
      <w:pPr>
        <w:ind w:firstLine="560"/>
      </w:pPr>
      <w:r>
        <w:rPr>
          <w:rFonts w:hint="eastAsia"/>
        </w:rPr>
        <w:t>提升医保信息化水平,预期指标值为有效提升；</w:t>
      </w:r>
    </w:p>
    <w:p>
      <w:pPr>
        <w:ind w:firstLine="560"/>
      </w:pPr>
      <w:r>
        <w:rPr>
          <w:rFonts w:hint="eastAsia"/>
        </w:rPr>
        <w:t>③生态效益指标</w:t>
      </w:r>
    </w:p>
    <w:p>
      <w:pPr>
        <w:pStyle w:val="2"/>
        <w:ind w:firstLine="560"/>
        <w:rPr>
          <w:rFonts w:ascii="仿宋_GB2312" w:hAnsi="仿宋_GB2312" w:eastAsia="仿宋_GB2312"/>
          <w:b w:val="0"/>
          <w:sz w:val="28"/>
        </w:rPr>
      </w:pPr>
      <w:r>
        <w:rPr>
          <w:rFonts w:ascii="仿宋_GB2312" w:hAnsi="仿宋_GB2312" w:eastAsia="仿宋_GB2312"/>
          <w:b w:val="0"/>
          <w:sz w:val="28"/>
        </w:rPr>
        <w:t>“</w:t>
      </w:r>
      <w:r>
        <w:rPr>
          <w:rFonts w:hint="eastAsia" w:ascii="仿宋_GB2312" w:hAnsi="仿宋_GB2312" w:eastAsia="仿宋_GB2312"/>
          <w:b w:val="0"/>
          <w:sz w:val="28"/>
        </w:rPr>
        <w:t>无</w:t>
      </w:r>
      <w:r>
        <w:rPr>
          <w:rFonts w:ascii="仿宋_GB2312" w:hAnsi="仿宋_GB2312" w:eastAsia="仿宋_GB2312"/>
          <w:b w:val="0"/>
          <w:sz w:val="28"/>
        </w:rPr>
        <w:t>此类</w:t>
      </w:r>
      <w:r>
        <w:rPr>
          <w:rFonts w:hint="eastAsia" w:ascii="仿宋_GB2312" w:hAnsi="仿宋_GB2312" w:eastAsia="仿宋_GB2312"/>
          <w:b w:val="0"/>
          <w:sz w:val="28"/>
        </w:rPr>
        <w:t>指标</w:t>
      </w:r>
      <w:r>
        <w:rPr>
          <w:rFonts w:ascii="仿宋_GB2312" w:hAnsi="仿宋_GB2312" w:eastAsia="仿宋_GB2312"/>
          <w:b w:val="0"/>
          <w:sz w:val="28"/>
        </w:rPr>
        <w:t>”</w:t>
      </w:r>
      <w:r>
        <w:rPr>
          <w:rFonts w:hint="eastAsia" w:ascii="仿宋_GB2312" w:hAnsi="仿宋_GB2312" w:eastAsia="仿宋_GB2312"/>
          <w:b w:val="0"/>
          <w:sz w:val="28"/>
        </w:rPr>
        <w:t>；</w:t>
      </w:r>
    </w:p>
    <w:p>
      <w:pPr>
        <w:ind w:firstLine="560"/>
      </w:pPr>
      <w:r>
        <w:rPr>
          <w:rFonts w:hint="eastAsia"/>
        </w:rPr>
        <w:t>④可持续影响指标</w:t>
      </w:r>
    </w:p>
    <w:p>
      <w:pPr>
        <w:ind w:firstLine="560"/>
      </w:pPr>
      <w:r>
        <w:rPr>
          <w:rFonts w:hint="eastAsia"/>
        </w:rPr>
        <w:t>动态监测医药价格,预期指标值为持续监测；</w:t>
      </w:r>
    </w:p>
    <w:p>
      <w:pPr>
        <w:ind w:firstLine="560"/>
      </w:pPr>
      <w:r>
        <w:rPr>
          <w:rFonts w:hint="eastAsia"/>
        </w:rPr>
        <w:t>⑤满意度指标</w:t>
      </w:r>
    </w:p>
    <w:p>
      <w:pPr>
        <w:ind w:firstLine="560"/>
      </w:pPr>
      <w:r>
        <w:rPr>
          <w:rFonts w:hint="eastAsia"/>
        </w:rPr>
        <w:t>参保群众满意度,预期指标值为</w:t>
      </w:r>
      <w:r>
        <w:t>&gt;=95%</w:t>
      </w:r>
      <w:r>
        <w:rPr>
          <w:rFonts w:hint="eastAsia"/>
        </w:rPr>
        <w:t>；</w:t>
      </w:r>
    </w:p>
    <w:p>
      <w:pPr>
        <w:ind w:firstLine="560"/>
      </w:pPr>
      <w:r>
        <w:rPr>
          <w:rFonts w:hint="eastAsia"/>
        </w:rPr>
        <w:t>受益医疗机构满意度，预期指标值为</w:t>
      </w:r>
      <w:r>
        <w:t>&gt;=95%</w:t>
      </w:r>
      <w:r>
        <w:rPr>
          <w:rFonts w:hint="eastAsia"/>
        </w:rPr>
        <w:t>；</w:t>
      </w:r>
    </w:p>
    <w:p>
      <w:pPr>
        <w:pStyle w:val="3"/>
        <w:ind w:firstLine="643"/>
      </w:pPr>
      <w:r>
        <w:rPr>
          <w:rFonts w:hint="eastAsia"/>
        </w:rPr>
        <w:t>二、绩效评价工作开展情况</w:t>
      </w:r>
    </w:p>
    <w:p>
      <w:pPr>
        <w:pStyle w:val="2"/>
        <w:ind w:firstLine="643"/>
      </w:pPr>
      <w:bookmarkStart w:id="0" w:name="_Toc12868"/>
      <w:bookmarkStart w:id="1" w:name="_Toc22169_WPSOffice_Level2"/>
      <w:bookmarkStart w:id="2" w:name="_Toc480473081"/>
      <w:bookmarkStart w:id="3" w:name="_Toc5462343"/>
      <w:bookmarkStart w:id="4" w:name="_Toc21664"/>
      <w:bookmarkStart w:id="5" w:name="_Toc26632"/>
      <w:bookmarkStart w:id="6" w:name="_Toc5258"/>
      <w:bookmarkStart w:id="7" w:name="_Toc22922"/>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4"/>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2022年中央财政医疗服务与保障能力提升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此次我单位根据《财政支出绩效评价管理暂行办法》（财预〔2020〕10号）文件要求实施评价工作，本次评价对象为2022年中央财政医疗服务与保障能力提升项目，评价核心为项目的资金投入、产出及效益。</w:t>
      </w:r>
    </w:p>
    <w:p>
      <w:pPr>
        <w:pStyle w:val="4"/>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2"/>
        <w:ind w:firstLine="643"/>
      </w:pPr>
      <w:r>
        <w:rPr>
          <w:rFonts w:hint="eastAsia"/>
        </w:rPr>
        <w:t>（二）绩效评价原则、评价指标体系</w:t>
      </w:r>
    </w:p>
    <w:p>
      <w:pPr>
        <w:pStyle w:val="4"/>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1913"/>
      <w:bookmarkStart w:id="9" w:name="_Toc419984722"/>
      <w:bookmarkStart w:id="10" w:name="_Toc428278230"/>
      <w:bookmarkStart w:id="11" w:name="_Toc26131"/>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4"/>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4"/>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pPr>
        <w:pStyle w:val="6"/>
        <w:ind w:firstLine="560"/>
      </w:pPr>
      <w:r>
        <w:rPr>
          <w:rFonts w:hint="eastAsia"/>
        </w:rPr>
        <w:t>绩效目标合理性：比较法，对比分析年初编制项目支出绩效目标表与项目内容的相关性、资金的匹配性等。</w:t>
      </w:r>
    </w:p>
    <w:p>
      <w:pPr>
        <w:pStyle w:val="6"/>
        <w:ind w:firstLine="560"/>
      </w:pPr>
      <w:r>
        <w:rPr>
          <w:rFonts w:hint="eastAsia"/>
        </w:rPr>
        <w:t>绩效指标明确性：比较法，比较分析年初编制项目支出绩效目标表是否符合双七原则，是否可衡量。</w:t>
      </w:r>
    </w:p>
    <w:p>
      <w:pPr>
        <w:pStyle w:val="6"/>
        <w:ind w:firstLine="560"/>
      </w:pPr>
      <w:r>
        <w:rPr>
          <w:rFonts w:hint="eastAsia"/>
        </w:rPr>
        <w:t>预算编制科学性：成本效益分析法，分析在产出一定的情况下，成本取值是否有依据，是否经过询价，是否按照市场最低成本编制。</w:t>
      </w:r>
    </w:p>
    <w:p>
      <w:pPr>
        <w:pStyle w:val="6"/>
        <w:ind w:firstLine="560"/>
      </w:pPr>
      <w:r>
        <w:rPr>
          <w:rFonts w:hint="eastAsia"/>
        </w:rPr>
        <w:t>资金分配合理性：因素分析法，综合分析资金的分配依据是否充分，分配金额是否与项目实施单位需求金额一致，</w:t>
      </w:r>
    </w:p>
    <w:p>
      <w:pPr>
        <w:pStyle w:val="6"/>
        <w:ind w:firstLine="560"/>
      </w:pPr>
      <w:r>
        <w:rPr>
          <w:rFonts w:hint="eastAsia"/>
        </w:rPr>
        <w:t>资金到位率：比较法，资金到位率预期指标值应为100%，通过实际计算，分析实际完成值和预期指标值之间的差距和原因。</w:t>
      </w:r>
    </w:p>
    <w:p>
      <w:pPr>
        <w:pStyle w:val="6"/>
        <w:ind w:firstLine="560"/>
      </w:pPr>
      <w:r>
        <w:rPr>
          <w:rFonts w:hint="eastAsia"/>
        </w:rPr>
        <w:t>预算执行率：比较法，预算执行率预期指标值应为100%，通过实际计算，分析实际完成值和预期指标值之间的差距和原因。</w:t>
      </w:r>
    </w:p>
    <w:p>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ind w:firstLine="560"/>
      </w:pPr>
      <w:r>
        <w:rPr>
          <w:rFonts w:hint="eastAsia"/>
        </w:rPr>
        <w:t>制度执行有效性：比较法，结合项目实际实施过程性文件，根据已建设的财务管理制度和项目管理制度综合分析制度执行的有效性。</w:t>
      </w:r>
    </w:p>
    <w:p>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pPr>
      <w:r>
        <w:rPr>
          <w:rFonts w:hint="eastAsia"/>
        </w:rPr>
        <w:t>定性指标：公众评判法，通过问卷及抽样调查等方式评价本项目实施后社会公众对于其实施效果的满意程度。</w:t>
      </w:r>
    </w:p>
    <w:p>
      <w:pPr>
        <w:pStyle w:val="4"/>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2"/>
        <w:ind w:firstLine="643"/>
      </w:pPr>
      <w:r>
        <w:rPr>
          <w:rFonts w:hint="eastAsia"/>
        </w:rPr>
        <w:t>（三）绩效评价工作过程</w:t>
      </w:r>
    </w:p>
    <w:p>
      <w:pPr>
        <w:pStyle w:val="4"/>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rPr>
        <w:t>马晓泉（评价小组组长）：主要负责2022年中央财政医疗服务与保障能力提升项目的组织工作</w:t>
      </w:r>
    </w:p>
    <w:p>
      <w:pPr>
        <w:ind w:firstLine="560"/>
      </w:pPr>
      <w:r>
        <w:rPr>
          <w:rFonts w:hint="eastAsia"/>
        </w:rPr>
        <w:t>热比古丽.吾斯曼（评价小组组员）：主要负责2022年中央财政医疗服务与保障能力提升项目的实施工作</w:t>
      </w:r>
    </w:p>
    <w:p>
      <w:pPr>
        <w:ind w:firstLine="560"/>
      </w:pPr>
      <w:r>
        <w:rPr>
          <w:rFonts w:hint="eastAsia"/>
        </w:rPr>
        <w:t>朱伟（评价小组组员）：主要负责2022年中央财政医疗服务与保障能力提升项目监督管理、验收以及资金核拨等工作</w:t>
      </w:r>
    </w:p>
    <w:p>
      <w:pPr>
        <w:pStyle w:val="4"/>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4"/>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4"/>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3"/>
        </w:numPr>
        <w:ind w:firstLine="643"/>
      </w:pPr>
      <w:r>
        <w:rPr>
          <w:rFonts w:hint="eastAsia"/>
        </w:rPr>
        <w:t>综合评价情况及评价结论</w:t>
      </w:r>
    </w:p>
    <w:p>
      <w:pPr>
        <w:pStyle w:val="2"/>
        <w:ind w:firstLine="643"/>
        <w:rPr>
          <w:b w:val="0"/>
        </w:rPr>
      </w:pPr>
      <w:r>
        <w:rPr>
          <w:rFonts w:hint="eastAsia"/>
        </w:rPr>
        <w:t>（一）综合评价情况</w:t>
      </w:r>
    </w:p>
    <w:p>
      <w:pPr>
        <w:ind w:firstLine="560"/>
      </w:pPr>
      <w:r>
        <w:rPr>
          <w:rFonts w:hint="eastAsia"/>
        </w:rPr>
        <w:t>经评价，本</w:t>
      </w:r>
      <w:r>
        <w:rPr>
          <w:rFonts w:hint="eastAsia"/>
          <w:lang w:val="zh-TW" w:eastAsia="zh-TW"/>
        </w:rPr>
        <w:t>项目</w:t>
      </w:r>
      <w:r>
        <w:rPr>
          <w:rFonts w:hint="eastAsia"/>
        </w:rPr>
        <w:t>达成确保了创新居民基本医疗保险参保人员的医疗待遇落实；全民落实大病保险制度，减轻了参保人员的经济负担，缓解社会矛盾；</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pPr>
      <w:r>
        <w:rPr>
          <w:rFonts w:hint="eastAsia"/>
        </w:rPr>
        <w:t>一是：</w:t>
      </w:r>
      <w:r>
        <w:t>召开医药价格工作会议，政策传达会议或培训次数2次以上，代办人员3人，购置医药价格检测系统硬件设施1批，计划购置设备验收合格率100%、检测点医疗机构数据采集率100%、资金支付及时率100%，于2022年12月完成项目；</w:t>
      </w:r>
    </w:p>
    <w:p>
      <w:pPr>
        <w:ind w:firstLine="560"/>
      </w:pPr>
      <w:r>
        <w:rPr>
          <w:rFonts w:hint="eastAsia"/>
        </w:rPr>
        <w:t>二是：</w:t>
      </w:r>
      <w:r>
        <w:t>积极推进全民参保计划，确保创新居民基本医疗保险参保人员的医疗待遇落实；全民落实大病保险制度，减轻参保人员的经济负担，缓解社会矛盾；通过本项目的实施，持续动态监测医药价格，有效提升医保信息化水平，争取使参保群众和医疗机构满意度达到95</w:t>
      </w:r>
      <w:r>
        <w:rPr>
          <w:rFonts w:hint="eastAsia"/>
        </w:rPr>
        <w:t>%</w:t>
      </w:r>
      <w:r>
        <w:t>以上</w:t>
      </w:r>
      <w:r>
        <w:rPr>
          <w:rFonts w:hint="eastAsia"/>
        </w:rPr>
        <w:t>;</w:t>
      </w:r>
    </w:p>
    <w:p>
      <w:pPr>
        <w:ind w:firstLine="560"/>
      </w:pPr>
      <w:r>
        <w:rPr>
          <w:rFonts w:hint="eastAsia"/>
        </w:rPr>
        <w:t>三是：通过实施本项目，推进了全民参保计划，确保了创新居民基本医疗保险参保人员的医疗待遇落实；全民落实大病保险制度，减轻了参保人员的经济负担；</w:t>
      </w:r>
    </w:p>
    <w:p>
      <w:pPr>
        <w:pStyle w:val="2"/>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优秀</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三级指标数量27</w:t>
      </w:r>
      <w:r>
        <w:rPr>
          <w:rFonts w:hint="eastAsia"/>
          <w:lang w:val="zh-TW" w:eastAsia="zh-TW"/>
        </w:rPr>
        <w:t>个，实现</w:t>
      </w:r>
      <w:r>
        <w:rPr>
          <w:rFonts w:hint="eastAsia"/>
        </w:rPr>
        <w:t>三级指标数量27</w:t>
      </w:r>
      <w:r>
        <w:rPr>
          <w:rFonts w:hint="eastAsia"/>
          <w:lang w:val="zh-TW" w:eastAsia="zh-TW"/>
        </w:rPr>
        <w:t>个，</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lang w:val="zh-TW"/>
        </w:rPr>
        <w:t>6</w:t>
      </w:r>
      <w:r>
        <w:rPr>
          <w:rFonts w:hint="eastAsia"/>
          <w:lang w:val="zh-TW" w:eastAsia="zh-TW"/>
        </w:rPr>
        <w:t>个，得分率</w:t>
      </w:r>
      <w:r>
        <w:rPr>
          <w:rFonts w:hint="eastAsia"/>
          <w:lang w:val="zh-TW"/>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lang w:val="zh-TW"/>
        </w:rPr>
        <w:t>5</w:t>
      </w:r>
      <w:r>
        <w:rPr>
          <w:rFonts w:hint="eastAsia"/>
          <w:lang w:val="zh-TW" w:eastAsia="zh-TW"/>
        </w:rPr>
        <w:t>个，得分率</w:t>
      </w:r>
      <w:r>
        <w:rPr>
          <w:rFonts w:hint="eastAsia"/>
          <w:lang w:val="zh-TW"/>
        </w:rPr>
        <w:t>100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lang w:val="zh-TW"/>
        </w:rPr>
        <w:t>12</w:t>
      </w:r>
      <w:r>
        <w:rPr>
          <w:rFonts w:hint="eastAsia"/>
          <w:lang w:val="zh-TW" w:eastAsia="zh-TW"/>
        </w:rPr>
        <w:t>个，满分指标</w:t>
      </w:r>
      <w:r>
        <w:rPr>
          <w:rFonts w:hint="eastAsia"/>
          <w:lang w:val="zh-TW"/>
        </w:rPr>
        <w:t>12</w:t>
      </w:r>
      <w:r>
        <w:rPr>
          <w:rFonts w:hint="eastAsia"/>
          <w:lang w:val="zh-TW" w:eastAsia="zh-TW"/>
        </w:rPr>
        <w:t>个，得分率</w:t>
      </w:r>
      <w:r>
        <w:rPr>
          <w:rFonts w:hint="eastAsia"/>
          <w:lang w:val="zh-TW"/>
        </w:rPr>
        <w:t>100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lang w:val="zh-TW"/>
        </w:rPr>
        <w:t>4</w:t>
      </w:r>
      <w:r>
        <w:rPr>
          <w:rFonts w:hint="eastAsia"/>
          <w:lang w:val="zh-TW" w:eastAsia="zh-TW"/>
        </w:rPr>
        <w:t>个，满分指标</w:t>
      </w:r>
      <w:r>
        <w:rPr>
          <w:rFonts w:hint="eastAsia"/>
          <w:lang w:val="zh-TW"/>
        </w:rPr>
        <w:t>4</w:t>
      </w:r>
      <w:r>
        <w:rPr>
          <w:rFonts w:hint="eastAsia"/>
          <w:lang w:val="zh-TW" w:eastAsia="zh-TW"/>
        </w:rPr>
        <w:t>个，得分率</w:t>
      </w:r>
      <w:r>
        <w:rPr>
          <w:rFonts w:hint="eastAsia"/>
          <w:lang w:val="zh-TW"/>
        </w:rPr>
        <w:t>100</w:t>
      </w:r>
      <w:r>
        <w:rPr>
          <w:rFonts w:hint="eastAsia"/>
          <w:lang w:val="zh-TW" w:eastAsia="zh-TW"/>
        </w:rPr>
        <w:t>%</w:t>
      </w:r>
      <w:r>
        <w:rPr>
          <w:rFonts w:hint="eastAsia"/>
          <w:lang w:val="zh-TW"/>
        </w:rPr>
        <w:t>，详细情况见“附件2：项目综合得分表”。</w:t>
      </w:r>
    </w:p>
    <w:p>
      <w:pPr>
        <w:pStyle w:val="3"/>
        <w:numPr>
          <w:ilvl w:val="0"/>
          <w:numId w:val="3"/>
        </w:numPr>
        <w:ind w:firstLine="643"/>
      </w:pPr>
      <w:r>
        <w:rPr>
          <w:rFonts w:hint="eastAsia"/>
        </w:rPr>
        <w:t>绩效评价指标分析</w:t>
      </w:r>
    </w:p>
    <w:p>
      <w:pPr>
        <w:pStyle w:val="2"/>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4"/>
        <w:ind w:firstLine="562"/>
      </w:pPr>
      <w:r>
        <w:rPr>
          <w:rFonts w:hint="eastAsia"/>
        </w:rPr>
        <w:t>1.项目立项情况分析</w:t>
      </w:r>
    </w:p>
    <w:p>
      <w:pPr>
        <w:ind w:firstLine="562"/>
        <w:rPr>
          <w:b/>
          <w:bCs/>
        </w:rPr>
      </w:pPr>
      <w:r>
        <w:rPr>
          <w:rFonts w:hint="eastAsia"/>
          <w:b/>
          <w:bCs/>
        </w:rPr>
        <w:t>（1）立项依据充分性</w:t>
      </w:r>
    </w:p>
    <w:p>
      <w:pPr>
        <w:ind w:firstLine="560"/>
        <w:rPr>
          <w:rFonts w:ascii="楷体" w:hAnsi="楷体" w:eastAsia="楷体" w:cs="楷体"/>
          <w:kern w:val="0"/>
          <w:sz w:val="32"/>
          <w:szCs w:val="32"/>
        </w:rPr>
      </w:pPr>
      <w:r>
        <w:rPr>
          <w:rFonts w:hint="eastAsia"/>
        </w:rPr>
        <w:t>本项目立项符合</w:t>
      </w:r>
      <w:r>
        <w:rPr>
          <w:rFonts w:hint="eastAsia" w:eastAsia="仿宋GB2312" w:cs="仿宋_GB2312" w:asciiTheme="minorEastAsia" w:hAnsiTheme="minorEastAsia"/>
          <w:szCs w:val="32"/>
        </w:rPr>
        <w:t>《和地财社【2021】96号》和《洛财社【2022】001》关于提前下达2022年中央医疗服务与保障能力提升预算的文件精神。 资金下达后，各单位要按照下达的批复及时组织资金（项目）的实施，加强资金管理，专款专用、不得挪用、挤占：涉及政府采购、招投标的事项，必须严格按照相关规定执行。</w:t>
      </w:r>
      <w:r>
        <w:rPr>
          <w:rFonts w:hint="eastAsia"/>
        </w:rPr>
        <w:t>符合行业发展规划和政策要求；本项目立项符合《医疗保障局单位配置内设机构和人员编制规定》，属于我单位履职所需；根据《财政资金直接支付申请书》，本项目资金性质为“公共财政预算”功能分类为“2101506”经济分类为“2101501”属于公共财政支持范围，符合中央、地方事权支出责任划分原则；经检查我单位财政</w:t>
      </w:r>
      <w:r>
        <w:t>应用平台</w:t>
      </w:r>
      <w:r>
        <w:rPr>
          <w:rFonts w:hint="eastAsia"/>
        </w:rPr>
        <w:t>指标，本项目不存在重复。</w:t>
      </w:r>
    </w:p>
    <w:p>
      <w:pPr>
        <w:ind w:firstLine="560"/>
        <w:rPr>
          <w:b/>
          <w:bCs/>
        </w:rPr>
      </w:pPr>
      <w:r>
        <w:rPr>
          <w:rFonts w:hint="eastAsia"/>
        </w:rPr>
        <w:t>综上所述，本指标满分为5分，根据评分标准得5分，本项目立项依据充分。</w:t>
      </w:r>
    </w:p>
    <w:p>
      <w:pPr>
        <w:ind w:firstLine="562"/>
        <w:rPr>
          <w:b/>
          <w:bCs/>
        </w:rPr>
      </w:pPr>
      <w:r>
        <w:rPr>
          <w:rFonts w:hint="eastAsia"/>
          <w:b/>
          <w:bCs/>
        </w:rPr>
        <w:t>（2）立项程序规范性</w:t>
      </w:r>
    </w:p>
    <w:p>
      <w:pPr>
        <w:ind w:firstLine="560"/>
        <w:rPr>
          <w:rFonts w:eastAsia="仿宋GB2312" w:cs="仿宋_GB2312" w:asciiTheme="minorEastAsia" w:hAnsiTheme="minorEastAsia"/>
          <w:szCs w:val="32"/>
        </w:rPr>
      </w:pPr>
      <w:r>
        <w:rPr>
          <w:rFonts w:hint="eastAsia" w:eastAsia="仿宋GB2312" w:asciiTheme="minorEastAsia" w:hAnsiTheme="minorEastAsia"/>
        </w:rPr>
        <w:t>本项目为有效保障我县医保经办机构服务能力，加快支出进度，切实做好我县提升医保信息化水平，加强网络，信息安全，基础设施等方面建设。提高医疗保障水平，强化医疗管理质量，切实增强参保对象的幸福感，为维护社会稳定、构建社会主义和谐社会发挥重要作用，助力脱贫攻坚顺利进行提高了医疗保障水平，强化了医疗管理质量。</w:t>
      </w:r>
      <w:r>
        <w:rPr>
          <w:rFonts w:hint="eastAsia"/>
        </w:rPr>
        <w:t>项目立项过程中产生的文件均符合相关要求。本项目为</w:t>
      </w:r>
      <w:r>
        <w:rPr>
          <w:rFonts w:hint="eastAsia" w:eastAsia="仿宋GB2312" w:asciiTheme="minorEastAsia" w:hAnsiTheme="minorEastAsia"/>
        </w:rPr>
        <w:t>是特定目标类项目</w:t>
      </w:r>
      <w:r>
        <w:rPr>
          <w:rFonts w:hint="eastAsia"/>
        </w:rPr>
        <w:t>，属于经常性项目，项目预算金额为7万元，不涉及事前绩效评估和风险评估，已委托医疗保障局单位完成本项目可行性研究报告的编制，并经过专家论证，</w:t>
      </w:r>
      <w:r>
        <w:rPr>
          <w:rFonts w:hint="eastAsia" w:eastAsia="仿宋GB2312" w:asciiTheme="minorEastAsia" w:hAnsiTheme="minorEastAsia"/>
        </w:rPr>
        <w:t>本项目为</w:t>
      </w:r>
      <w:r>
        <w:rPr>
          <w:rFonts w:hint="eastAsia" w:eastAsia="仿宋GB2312" w:cs="仿宋_GB2312" w:asciiTheme="minorEastAsia" w:hAnsiTheme="minorEastAsia"/>
          <w:szCs w:val="32"/>
        </w:rPr>
        <w:t>有效保障我县医保经办机构服务能力，加快支出进度，切实做好我县提升医保信息化水平，加强网络，信息安全，基础设施等方面建设。</w:t>
      </w:r>
    </w:p>
    <w:p>
      <w:pPr>
        <w:ind w:firstLine="560"/>
      </w:pPr>
      <w:r>
        <w:rPr>
          <w:rFonts w:hint="eastAsia"/>
        </w:rPr>
        <w:t>综上所述，本指标满分为3分，根据评分标准得3分，本项目立项程序合规。</w:t>
      </w:r>
    </w:p>
    <w:p>
      <w:pPr>
        <w:pStyle w:val="4"/>
        <w:ind w:firstLine="562"/>
      </w:pPr>
      <w:r>
        <w:rPr>
          <w:rFonts w:hint="eastAsia"/>
        </w:rPr>
        <w:t>2.绩效目标情况分析</w:t>
      </w:r>
    </w:p>
    <w:p>
      <w:pPr>
        <w:ind w:firstLine="562"/>
        <w:rPr>
          <w:b/>
          <w:bCs/>
        </w:rPr>
      </w:pPr>
      <w:r>
        <w:rPr>
          <w:rFonts w:hint="eastAsia"/>
          <w:b/>
          <w:bCs/>
        </w:rPr>
        <w:t>（1）绩效目标合理性</w:t>
      </w:r>
    </w:p>
    <w:p>
      <w:pPr>
        <w:ind w:firstLine="560"/>
      </w:pPr>
      <w:r>
        <w:rPr>
          <w:rFonts w:hint="eastAsia"/>
        </w:rPr>
        <w:t>本项目已设置年度绩效目标，具体内容为“2022年中央财政医疗服务与保障能力提升项目”；本项目实际工作为：项目预算资金为</w:t>
      </w:r>
      <w:r>
        <w:t>7万元，主要用途为：1.召开医药价格工作会议，政策传达会议或培训次数2次以上，代办人员3人，购置医药价格检测系统硬件设施1批，计划购置设备验收合格率100%、检测点医疗机构数据采集率100%、资金支付及时率100%，于2022年12月完成项目；2.积极推进全民参保计划，确保创新居民基本医疗保险参保人员的医疗待遇落实；全民落实大病保险制度，减轻参保人员的经济负担，缓解社会矛盾；通过本项目的实施，持续动态监测医药价格，有效提升医保信息化水平，争取使参保群众和医疗机构满意度达到95%以上。</w:t>
      </w:r>
      <w:r>
        <w:rPr>
          <w:rFonts w:hint="eastAsia"/>
        </w:rPr>
        <w:t>。绩效目标与实际工作内容一致，两者具有相关性;本项目按照绩效目标完成数量指标、质量指标、时效指标、成本指标，有效保障了全民参保计划，确保了创新居民基本医疗保险参保人员的医疗待遇落实；全民落实大病保险制度，减轻了参保人员的经济负担，缓解社会矛盾；年度绩效目标完成，预期产出效益和效果符合正常的业绩水平。</w:t>
      </w:r>
    </w:p>
    <w:p>
      <w:pPr>
        <w:ind w:firstLine="560"/>
      </w:pPr>
      <w:r>
        <w:rPr>
          <w:rFonts w:hint="eastAsia"/>
        </w:rPr>
        <w:t>综上所述，本指标满分为4分，根据评分标准得4分，本项目绩效目标设置合理。</w:t>
      </w:r>
    </w:p>
    <w:p>
      <w:pPr>
        <w:ind w:firstLine="562"/>
        <w:rPr>
          <w:b/>
          <w:bCs/>
        </w:rPr>
      </w:pPr>
      <w:r>
        <w:rPr>
          <w:rFonts w:hint="eastAsia"/>
          <w:b/>
          <w:bCs/>
        </w:rPr>
        <w:t>（2）绩效指标明确性</w:t>
      </w:r>
    </w:p>
    <w:p>
      <w:pPr>
        <w:ind w:firstLine="560"/>
      </w:pPr>
      <w:r>
        <w:rPr>
          <w:rFonts w:hint="eastAsia"/>
        </w:rPr>
        <w:t>经检查我单位年初设置的《项目支出绩效目标表》，得出如下结论：本项目已将年度绩效目标进行细化为绩效指标体系，共设置一级指标3个，二级指标7个，三级指标16个，定量指标13个，定性指标3个，指标量化率为81.25%，量化率达70%以上。</w:t>
      </w:r>
    </w:p>
    <w:p>
      <w:pPr>
        <w:ind w:firstLine="560"/>
      </w:pPr>
      <w:r>
        <w:rPr>
          <w:rFonts w:hint="eastAsia"/>
        </w:rPr>
        <w:t>综上所述，本指标满分为3分，根据评分标准得3分，本项目所设置绩效指标明确。</w:t>
      </w:r>
    </w:p>
    <w:p>
      <w:pPr>
        <w:pStyle w:val="4"/>
        <w:ind w:firstLine="562"/>
      </w:pPr>
      <w:r>
        <w:rPr>
          <w:rFonts w:hint="eastAsia"/>
        </w:rPr>
        <w:t>3.资金投入情况分析</w:t>
      </w:r>
    </w:p>
    <w:p>
      <w:pPr>
        <w:ind w:firstLine="562"/>
        <w:rPr>
          <w:b/>
          <w:bCs/>
        </w:rPr>
      </w:pPr>
      <w:r>
        <w:rPr>
          <w:rFonts w:hint="eastAsia"/>
          <w:b/>
          <w:bCs/>
        </w:rPr>
        <w:t>（1）预算编制科学性</w:t>
      </w:r>
    </w:p>
    <w:p>
      <w:pPr>
        <w:ind w:firstLine="560"/>
        <w:rPr>
          <w:rFonts w:eastAsia="仿宋GB2312" w:asciiTheme="minorEastAsia" w:hAnsiTheme="minorEastAsia"/>
          <w:szCs w:val="32"/>
        </w:rPr>
      </w:pPr>
      <w:r>
        <w:rPr>
          <w:rFonts w:hint="eastAsia"/>
        </w:rPr>
        <w:t>本项目</w:t>
      </w:r>
      <w:r>
        <w:rPr>
          <w:rFonts w:hint="eastAsia" w:eastAsia="仿宋GB2312" w:asciiTheme="minorEastAsia" w:hAnsiTheme="minorEastAsia"/>
          <w:szCs w:val="32"/>
        </w:rPr>
        <w:t>为有效保障我县医保经办机构服务能力，加快支出进度，切实做好我县提升医保信息化水平，加强网络，信息安全，基础设施等方面建设，结合实际进行。加强打击欺诈骗保工作力度，切实保障医保基金合理有效使用。提升医保信息化水平，加强网络，信息安全，基础设施等方面建设，进一步夯实技术基础，切实保障医保信息系统高效，安全运行，提高数据采集质量，保障医保业务稳定运行。加强资金管理：明确资金应用范围，做到公开、透明、合理。同时，要切实加大项目资金使用的监管力度，杜绝违法违纪行为发生</w:t>
      </w:r>
      <w:r>
        <w:rPr>
          <w:rFonts w:hint="eastAsia"/>
        </w:rPr>
        <w:t>，即预算编制较科学且经过论证；</w:t>
      </w:r>
    </w:p>
    <w:p>
      <w:pPr>
        <w:ind w:firstLine="560"/>
      </w:pPr>
      <w:r>
        <w:rPr>
          <w:rFonts w:hint="eastAsia"/>
        </w:rPr>
        <w:t>预算申请内容为：</w:t>
      </w:r>
      <w:r>
        <w:rPr>
          <w:rFonts w:hint="eastAsia" w:eastAsia="仿宋GB2312" w:asciiTheme="minorEastAsia" w:hAnsiTheme="minorEastAsia"/>
          <w:szCs w:val="32"/>
        </w:rPr>
        <w:t>提升医保信息化水平，加强网络，信息安全，基础设施等方面建设，进一步夯实技术基础，切实保障医保信息系统高效，安全运行，提高数据采集质量，保障医保业务稳定运行。</w:t>
      </w:r>
      <w:r>
        <w:rPr>
          <w:rFonts w:hint="eastAsia"/>
        </w:rPr>
        <w:t>项目实际内容为2022年中央财政医疗服务与保障能力提升项目，预算申请与《2022年中央财政医疗服务与保障能力提升项目项目实施方案》中涉及的项目内容匹配；</w:t>
      </w:r>
    </w:p>
    <w:p>
      <w:pPr>
        <w:ind w:firstLine="560"/>
      </w:pPr>
      <w:r>
        <w:rPr>
          <w:rFonts w:hint="eastAsia"/>
        </w:rPr>
        <w:t>本项目预算申请资金7万元，我单位在预算申请中严格按照单位标准和数量进行核算，其中：单位标准为70000元，数量为1个。本项目预算额度测算依据充分，严格按照标准编制，预算确定资金量与实际工作任务相匹配；</w:t>
      </w:r>
    </w:p>
    <w:p>
      <w:pPr>
        <w:ind w:firstLine="560"/>
      </w:pPr>
      <w:r>
        <w:rPr>
          <w:rFonts w:hint="eastAsia"/>
        </w:rPr>
        <w:t>综上所述，本指标满分为4分，根据评分标准得4分，本项目预算编制科学。</w:t>
      </w:r>
    </w:p>
    <w:p>
      <w:pPr>
        <w:ind w:firstLine="562"/>
        <w:rPr>
          <w:b/>
          <w:bCs/>
        </w:rPr>
      </w:pPr>
      <w:r>
        <w:rPr>
          <w:rFonts w:hint="eastAsia"/>
          <w:b/>
          <w:bCs/>
        </w:rPr>
        <w:t>（2）资金分配合理性</w:t>
      </w:r>
    </w:p>
    <w:p>
      <w:pPr>
        <w:ind w:firstLine="560"/>
      </w:pPr>
      <w:r>
        <w:rPr>
          <w:rFonts w:hint="eastAsia" w:cs="仿宋_GB2312"/>
        </w:rPr>
        <w:t>本</w:t>
      </w:r>
      <w:r>
        <w:rPr>
          <w:rFonts w:hint="eastAsia"/>
        </w:rPr>
        <w:t>项目实际分配资金以《关于申请2022年中央财政医疗服务与保障能力提升项目资金的请示》和《2022年中央财政医疗服务与保障能力提升项目项目实施方案》为依据进行资金分配，预算资金分配依据充分。根据《2022年中央财政医疗服务与保障能力提升项目资金下达》文件显示，本项目实际到位资金7万元，实际分配资金与我单位提交申请的资金额度一致，资金分配额度合理，与我单位实际需求相适应。</w:t>
      </w:r>
    </w:p>
    <w:p>
      <w:pPr>
        <w:ind w:firstLine="560"/>
      </w:pPr>
      <w:r>
        <w:rPr>
          <w:rFonts w:hint="eastAsia"/>
        </w:rPr>
        <w:t>综上所述，本指标满分为2分，根据评分标准得2分，本项目资金分配合理。</w:t>
      </w:r>
    </w:p>
    <w:p>
      <w:pPr>
        <w:pStyle w:val="2"/>
        <w:ind w:firstLine="643"/>
      </w:pPr>
      <w:r>
        <w:rPr>
          <w:rFonts w:hint="eastAsia"/>
        </w:rPr>
        <w:t>（二）项目过程情况</w:t>
      </w:r>
    </w:p>
    <w:p>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rPr>
        <w:t>19</w:t>
      </w:r>
      <w:r>
        <w:rPr>
          <w:rFonts w:hint="eastAsia" w:cs="仿宋_GB2312"/>
          <w:u w:color="000000"/>
          <w:lang w:val="zh-TW" w:eastAsia="zh-TW"/>
        </w:rPr>
        <w:t>分</w:t>
      </w:r>
      <w:r>
        <w:rPr>
          <w:rFonts w:hint="eastAsia" w:cs="仿宋_GB2312"/>
          <w:u w:color="000000"/>
          <w:lang w:val="zh-TW"/>
        </w:rPr>
        <w:t>。</w:t>
      </w:r>
    </w:p>
    <w:p>
      <w:pPr>
        <w:pStyle w:val="4"/>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本项目预算资金为7万元，其中：本级财政安排资金7万元，其他资金0万元，实际到位资金7万元，资金到位率100%。得分4分。</w:t>
      </w:r>
    </w:p>
    <w:p>
      <w:pPr>
        <w:ind w:firstLine="560"/>
      </w:pPr>
      <w:r>
        <w:rPr>
          <w:rFonts w:hint="eastAsia"/>
        </w:rPr>
        <w:t>综上所述，本指标满分为4分，根据评分标准得4分，本项目资金分配合理。</w:t>
      </w:r>
    </w:p>
    <w:p>
      <w:pPr>
        <w:ind w:firstLine="562"/>
      </w:pPr>
      <w:r>
        <w:rPr>
          <w:rFonts w:hint="eastAsia"/>
          <w:b/>
          <w:bCs/>
        </w:rPr>
        <w:t>（2）预算执行率</w:t>
      </w:r>
    </w:p>
    <w:p>
      <w:pPr>
        <w:ind w:firstLine="560"/>
      </w:pPr>
      <w:r>
        <w:rPr>
          <w:rFonts w:hint="eastAsia"/>
        </w:rPr>
        <w:t>本项目实际支出资金7万元，预算执行率100%。得分5分。</w:t>
      </w:r>
    </w:p>
    <w:p>
      <w:pPr>
        <w:ind w:firstLine="560"/>
      </w:pPr>
      <w:r>
        <w:rPr>
          <w:rFonts w:hint="eastAsia"/>
        </w:rPr>
        <w:t>综上所述，本指标满分为5分，根据评分标准得5分，本项目资金分配合理。</w:t>
      </w:r>
    </w:p>
    <w:p>
      <w:pPr>
        <w:ind w:firstLine="562"/>
        <w:rPr>
          <w:b/>
          <w:bCs/>
        </w:rPr>
      </w:pPr>
      <w:r>
        <w:rPr>
          <w:rFonts w:hint="eastAsia"/>
          <w:b/>
          <w:bCs/>
        </w:rPr>
        <w:t>（3）资金使用合规性</w:t>
      </w:r>
    </w:p>
    <w:p>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医疗保障局单位</w:t>
      </w:r>
      <w:r>
        <w:t>资金管理办法》</w:t>
      </w:r>
      <w:r>
        <w:rPr>
          <w:rFonts w:hint="eastAsia"/>
        </w:rPr>
        <w:t>《专项资金管理办法》，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综上所述，本指标满分为4分，根据评分标准得4分，资金支出符合我单位财务管理制度规定。</w:t>
      </w:r>
    </w:p>
    <w:p>
      <w:pPr>
        <w:pStyle w:val="4"/>
        <w:ind w:firstLine="562"/>
      </w:pPr>
      <w:r>
        <w:rPr>
          <w:rFonts w:hint="eastAsia"/>
        </w:rPr>
        <w:t>2.组织实施情况分析</w:t>
      </w:r>
    </w:p>
    <w:p>
      <w:pPr>
        <w:ind w:firstLine="562"/>
        <w:rPr>
          <w:b/>
          <w:bCs/>
        </w:rPr>
      </w:pPr>
      <w:r>
        <w:rPr>
          <w:rFonts w:hint="eastAsia"/>
          <w:b/>
          <w:bCs/>
        </w:rPr>
        <w:t>（1）管理制度健全性</w:t>
      </w:r>
    </w:p>
    <w:p>
      <w:pPr>
        <w:ind w:firstLine="560"/>
      </w:pPr>
      <w:r>
        <w:rPr>
          <w:rFonts w:hint="eastAsia"/>
        </w:rPr>
        <w:t>我单位已制定《医保局专项资金管理办法》、《财务收支业务管理制度》、《财务政府采购业务管理制度》、《采购合同管理制度》上述已建立的制度均符合行政事业单位内控管理要求，财务和业务管理制度合法、合规、完整，本项目执行符合上述制度规定</w:t>
      </w:r>
      <w:r>
        <w:t>。</w:t>
      </w:r>
    </w:p>
    <w:p>
      <w:pPr>
        <w:ind w:firstLine="560"/>
      </w:pPr>
      <w:r>
        <w:rPr>
          <w:rFonts w:hint="eastAsia"/>
        </w:rPr>
        <w:t>综上所述，本指标满分为2分，根据评分标准得2分，项目制度建设健全。</w:t>
      </w:r>
    </w:p>
    <w:p>
      <w:pPr>
        <w:ind w:firstLine="562"/>
        <w:rPr>
          <w:b/>
          <w:bCs/>
        </w:rPr>
      </w:pPr>
      <w:r>
        <w:rPr>
          <w:rFonts w:hint="eastAsia"/>
          <w:b/>
          <w:bCs/>
        </w:rPr>
        <w:t>（2）</w:t>
      </w:r>
      <w:r>
        <w:rPr>
          <w:b/>
          <w:bC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专项资金项目工作领导小组，由党组书记马晓泉任组长，负责项目的组织工作；热比古丽任副组长，负责项目的实施工作；组员包括：朱伟，主要负责项目监督管理、验收以及资金核拨等工作。</w:t>
      </w:r>
    </w:p>
    <w:p>
      <w:pPr>
        <w:ind w:firstLine="560"/>
      </w:pPr>
      <w:r>
        <w:rPr>
          <w:rFonts w:hint="eastAsia"/>
        </w:rPr>
        <w:t>综上所述，本指标满分为4分，根据评分标准得4分，本项目所建立制度执行有效。</w:t>
      </w:r>
    </w:p>
    <w:p>
      <w:pPr>
        <w:pStyle w:val="2"/>
        <w:ind w:left="560" w:leftChars="200" w:firstLine="0" w:firstLineChars="0"/>
      </w:pPr>
      <w:r>
        <w:rPr>
          <w:rFonts w:hint="eastAsia"/>
        </w:rPr>
        <w:t>（三）项目产出情况</w:t>
      </w:r>
    </w:p>
    <w:p>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12</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rPr>
        <w:t>20</w:t>
      </w:r>
      <w:r>
        <w:rPr>
          <w:rFonts w:hint="eastAsia" w:cs="仿宋_GB2312"/>
          <w:u w:color="000000"/>
          <w:lang w:val="zh-TW" w:eastAsia="zh-TW"/>
        </w:rPr>
        <w:t>分</w:t>
      </w:r>
      <w:r>
        <w:rPr>
          <w:rFonts w:hint="eastAsia" w:cs="仿宋_GB2312"/>
          <w:u w:color="000000"/>
          <w:lang w:val="zh-TW"/>
        </w:rPr>
        <w:t>。</w:t>
      </w:r>
    </w:p>
    <w:p>
      <w:pPr>
        <w:pStyle w:val="4"/>
        <w:ind w:firstLine="562"/>
      </w:pPr>
      <w:r>
        <w:rPr>
          <w:rFonts w:hint="eastAsia"/>
        </w:rPr>
        <w:t>1.数量指标完成情况分析</w:t>
      </w:r>
    </w:p>
    <w:p>
      <w:pPr>
        <w:ind w:firstLine="560"/>
      </w:pPr>
      <w:r>
        <w:rPr>
          <w:rFonts w:hint="eastAsia"/>
        </w:rPr>
        <w:t>“召开医药价格工作会议、政策传达会议或培训次数”，预期指标值为</w:t>
      </w:r>
      <w:r>
        <w:t>&gt;=2次</w:t>
      </w:r>
      <w:r>
        <w:rPr>
          <w:rFonts w:hint="eastAsia"/>
        </w:rPr>
        <w:t>，实际完成指标值为</w:t>
      </w:r>
      <w:r>
        <w:t>2次，指标完成率为</w:t>
      </w:r>
      <w:r>
        <w:rPr>
          <w:rFonts w:hint="eastAsia"/>
        </w:rPr>
        <w:t>100%；</w:t>
      </w:r>
    </w:p>
    <w:p>
      <w:pPr>
        <w:ind w:firstLine="560"/>
      </w:pPr>
      <w:r>
        <w:rPr>
          <w:rFonts w:hint="eastAsia"/>
        </w:rPr>
        <w:t>“代办人员人数”:预期指标值为</w:t>
      </w:r>
      <w:r>
        <w:t>&gt;=3人</w:t>
      </w:r>
      <w:r>
        <w:rPr>
          <w:rFonts w:hint="eastAsia"/>
        </w:rPr>
        <w:t>，实际完成指标值为</w:t>
      </w:r>
      <w:r>
        <w:t>3人</w:t>
      </w:r>
      <w:r>
        <w:rPr>
          <w:rFonts w:hint="eastAsia"/>
        </w:rPr>
        <w:t>，指标完成率为100%；</w:t>
      </w:r>
    </w:p>
    <w:p>
      <w:pPr>
        <w:ind w:firstLine="560"/>
      </w:pPr>
      <w:r>
        <w:rPr>
          <w:rFonts w:hint="eastAsia"/>
        </w:rPr>
        <w:t>“购置医药价格检测系统硬件设施批数”:预期指标值为</w:t>
      </w:r>
      <w:r>
        <w:t>&gt;=1批</w:t>
      </w:r>
      <w:r>
        <w:rPr>
          <w:rFonts w:hint="eastAsia"/>
        </w:rPr>
        <w:t>；，实际完成指标值为</w:t>
      </w:r>
      <w:r>
        <w:t>1批</w:t>
      </w:r>
      <w:r>
        <w:rPr>
          <w:rFonts w:hint="eastAsia"/>
        </w:rPr>
        <w:t>；，指标完成率为100%。</w:t>
      </w:r>
    </w:p>
    <w:p>
      <w:pPr>
        <w:pStyle w:val="4"/>
        <w:ind w:firstLine="562"/>
      </w:pPr>
      <w:r>
        <w:rPr>
          <w:rFonts w:hint="eastAsia"/>
        </w:rPr>
        <w:t>2.质量指标完成情况分析</w:t>
      </w:r>
    </w:p>
    <w:p>
      <w:pPr>
        <w:ind w:firstLine="560"/>
      </w:pPr>
      <w:r>
        <w:rPr>
          <w:rFonts w:hint="eastAsia"/>
        </w:rPr>
        <w:t>“购置设备质量验收合格率”：预期指标值为=100%，实际完成指标值为100%，指标完成率为100%。</w:t>
      </w:r>
    </w:p>
    <w:p>
      <w:pPr>
        <w:ind w:firstLine="560"/>
      </w:pPr>
      <w:r>
        <w:rPr>
          <w:rFonts w:hint="eastAsia"/>
        </w:rPr>
        <w:t>“监测点医疗机构数据采集率”：预期指标值为=100%，实际完成指标值为100%，指标完成率为100%。</w:t>
      </w:r>
    </w:p>
    <w:p>
      <w:pPr>
        <w:pStyle w:val="4"/>
        <w:ind w:firstLine="562"/>
      </w:pPr>
      <w:r>
        <w:rPr>
          <w:rFonts w:hint="eastAsia"/>
        </w:rPr>
        <w:t>3.时效指标完成情况分析</w:t>
      </w:r>
    </w:p>
    <w:p>
      <w:pPr>
        <w:ind w:firstLine="560"/>
      </w:pPr>
      <w:r>
        <w:rPr>
          <w:rFonts w:hint="eastAsia"/>
        </w:rPr>
        <w:t>“资金支付及时率”：预期指标值为=100%，实际完成指标值为100%，指标完成率为100%。</w:t>
      </w:r>
    </w:p>
    <w:p>
      <w:pPr>
        <w:ind w:firstLine="560"/>
      </w:pPr>
      <w:r>
        <w:rPr>
          <w:rFonts w:hint="eastAsia"/>
        </w:rPr>
        <w:t xml:space="preserve"> “项目完成时间”：预期指标值为</w:t>
      </w:r>
      <w:r>
        <w:t>2022年12月</w:t>
      </w:r>
      <w:r>
        <w:rPr>
          <w:rFonts w:hint="eastAsia"/>
        </w:rPr>
        <w:t>，实际完成指标值为</w:t>
      </w:r>
      <w:r>
        <w:t>2022年12月</w:t>
      </w:r>
      <w:r>
        <w:rPr>
          <w:rFonts w:hint="eastAsia"/>
        </w:rPr>
        <w:t>，指标完成率为100%。</w:t>
      </w:r>
    </w:p>
    <w:p>
      <w:pPr>
        <w:pStyle w:val="4"/>
        <w:ind w:firstLine="562"/>
      </w:pPr>
      <w:r>
        <w:rPr>
          <w:rFonts w:hint="eastAsia"/>
        </w:rPr>
        <w:t>4.成本指标完成情况分析</w:t>
      </w:r>
    </w:p>
    <w:p>
      <w:pPr>
        <w:ind w:firstLine="560"/>
      </w:pPr>
      <w:r>
        <w:rPr>
          <w:rFonts w:hint="eastAsia"/>
        </w:rPr>
        <w:t>“电话费用”：预期指标值为≤0.40万元，实际完成指标值为0.40万元，指标完成率为100%。</w:t>
      </w:r>
    </w:p>
    <w:p>
      <w:pPr>
        <w:ind w:firstLine="560"/>
      </w:pPr>
      <w:r>
        <w:rPr>
          <w:rFonts w:hint="eastAsia"/>
        </w:rPr>
        <w:t>“公务用车加油费”：预期指标值为≤1.70万元，实际完成指标值为1.70万元，指标完成率为100%。</w:t>
      </w:r>
    </w:p>
    <w:p>
      <w:pPr>
        <w:ind w:firstLine="560"/>
      </w:pPr>
      <w:r>
        <w:rPr>
          <w:rFonts w:hint="eastAsia"/>
        </w:rPr>
        <w:t>“代办人员补助费用”：预期指标值为≤0.94万元，实际完成指标值为0.94万元，指标完成率为100%。</w:t>
      </w:r>
    </w:p>
    <w:p>
      <w:pPr>
        <w:ind w:firstLine="560"/>
      </w:pPr>
      <w:r>
        <w:rPr>
          <w:rFonts w:hint="eastAsia"/>
        </w:rPr>
        <w:t>“医疗服务保障能力提升人员培训费”：预期指标值为≤0.13万元，实际完成指标值为0.13万元，指标完成率为100%。</w:t>
      </w:r>
    </w:p>
    <w:p>
      <w:pPr>
        <w:ind w:firstLine="560"/>
      </w:pPr>
      <w:r>
        <w:rPr>
          <w:rFonts w:hint="eastAsia"/>
        </w:rPr>
        <w:t>“医疗服务保障能力提升</w:t>
      </w:r>
      <w:r>
        <w:t>DRG支付方式改革费用</w:t>
      </w:r>
      <w:r>
        <w:rPr>
          <w:rFonts w:hint="eastAsia"/>
        </w:rPr>
        <w:t>”：预期指标值为≤3.83万元，实际完成指标值为3.83万元，指标完成率为100%。</w:t>
      </w:r>
    </w:p>
    <w:p>
      <w:pPr>
        <w:pStyle w:val="2"/>
        <w:ind w:firstLine="643"/>
      </w:pPr>
      <w:r>
        <w:rPr>
          <w:rFonts w:hint="eastAsia"/>
        </w:rPr>
        <w:t>（四）项目效益情况</w:t>
      </w:r>
    </w:p>
    <w:p>
      <w:pPr>
        <w:ind w:firstLine="560"/>
        <w:rPr>
          <w:rFonts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5</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4</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30</w:t>
      </w:r>
      <w:r>
        <w:rPr>
          <w:rFonts w:hint="eastAsia" w:cs="仿宋_GB2312"/>
          <w:u w:color="000000"/>
          <w:lang w:val="zh-TW" w:eastAsia="zh-TW"/>
        </w:rPr>
        <w:t>分，实际得分</w:t>
      </w:r>
      <w:r>
        <w:rPr>
          <w:rFonts w:hint="eastAsia" w:cs="仿宋_GB2312"/>
        </w:rPr>
        <w:t>30</w:t>
      </w:r>
      <w:r>
        <w:rPr>
          <w:rFonts w:hint="eastAsia" w:cs="仿宋_GB2312"/>
          <w:u w:color="000000"/>
          <w:lang w:val="zh-TW" w:eastAsia="zh-TW"/>
        </w:rPr>
        <w:t>分</w:t>
      </w:r>
      <w:r>
        <w:rPr>
          <w:rFonts w:hint="eastAsia" w:cs="仿宋_GB2312"/>
          <w:u w:color="000000"/>
          <w:lang w:val="zh-TW"/>
        </w:rPr>
        <w:t>。</w:t>
      </w:r>
    </w:p>
    <w:p>
      <w:pPr>
        <w:pStyle w:val="4"/>
        <w:ind w:firstLine="562"/>
      </w:pPr>
      <w:r>
        <w:rPr>
          <w:rFonts w:hint="eastAsia"/>
        </w:rPr>
        <w:t>1.经济效益完成情况分析</w:t>
      </w:r>
    </w:p>
    <w:p>
      <w:pPr>
        <w:pStyle w:val="2"/>
        <w:ind w:firstLine="560"/>
        <w:rPr>
          <w:rFonts w:ascii="仿宋_GB2312" w:hAnsi="仿宋_GB2312" w:eastAsia="仿宋_GB2312"/>
          <w:b w:val="0"/>
          <w:sz w:val="28"/>
        </w:rPr>
      </w:pPr>
      <w:r>
        <w:rPr>
          <w:rFonts w:ascii="仿宋_GB2312" w:hAnsi="仿宋_GB2312" w:eastAsia="仿宋_GB2312"/>
          <w:b w:val="0"/>
          <w:sz w:val="28"/>
        </w:rPr>
        <w:t>“</w:t>
      </w:r>
      <w:r>
        <w:rPr>
          <w:rFonts w:hint="eastAsia" w:ascii="仿宋_GB2312" w:hAnsi="仿宋_GB2312" w:eastAsia="仿宋_GB2312"/>
          <w:b w:val="0"/>
          <w:sz w:val="28"/>
        </w:rPr>
        <w:t>无</w:t>
      </w:r>
      <w:r>
        <w:rPr>
          <w:rFonts w:ascii="仿宋_GB2312" w:hAnsi="仿宋_GB2312" w:eastAsia="仿宋_GB2312"/>
          <w:b w:val="0"/>
          <w:sz w:val="28"/>
        </w:rPr>
        <w:t>此类</w:t>
      </w:r>
      <w:r>
        <w:rPr>
          <w:rFonts w:hint="eastAsia" w:ascii="仿宋_GB2312" w:hAnsi="仿宋_GB2312" w:eastAsia="仿宋_GB2312"/>
          <w:b w:val="0"/>
          <w:sz w:val="28"/>
        </w:rPr>
        <w:t>指标</w:t>
      </w:r>
      <w:r>
        <w:rPr>
          <w:rFonts w:ascii="仿宋_GB2312" w:hAnsi="仿宋_GB2312" w:eastAsia="仿宋_GB2312"/>
          <w:b w:val="0"/>
          <w:sz w:val="28"/>
        </w:rPr>
        <w:t>”</w:t>
      </w:r>
      <w:r>
        <w:rPr>
          <w:rFonts w:hint="eastAsia" w:ascii="仿宋_GB2312" w:hAnsi="仿宋_GB2312" w:eastAsia="仿宋_GB2312"/>
          <w:b w:val="0"/>
          <w:sz w:val="28"/>
        </w:rPr>
        <w:t>；</w:t>
      </w:r>
    </w:p>
    <w:p>
      <w:pPr>
        <w:pStyle w:val="4"/>
        <w:ind w:firstLine="562"/>
      </w:pPr>
      <w:r>
        <w:rPr>
          <w:rFonts w:hint="eastAsia"/>
        </w:rPr>
        <w:t>2.社会效益完成情况分析</w:t>
      </w:r>
    </w:p>
    <w:p>
      <w:pPr>
        <w:ind w:firstLine="560"/>
      </w:pPr>
      <w:r>
        <w:rPr>
          <w:rFonts w:hint="eastAsia"/>
        </w:rPr>
        <w:t>“提升医保信息化水平”：预期指标值为有效提升，实际完成指标值为有效提升，指标完成率为100%。</w:t>
      </w:r>
    </w:p>
    <w:p>
      <w:pPr>
        <w:pStyle w:val="4"/>
        <w:ind w:firstLine="562"/>
      </w:pPr>
      <w:r>
        <w:rPr>
          <w:rFonts w:hint="eastAsia"/>
        </w:rPr>
        <w:t>3.生态效益完成情况分析</w:t>
      </w:r>
    </w:p>
    <w:p>
      <w:pPr>
        <w:pStyle w:val="2"/>
        <w:ind w:firstLine="560"/>
        <w:rPr>
          <w:rFonts w:ascii="仿宋_GB2312" w:hAnsi="仿宋_GB2312" w:eastAsia="仿宋_GB2312"/>
          <w:b w:val="0"/>
          <w:sz w:val="28"/>
        </w:rPr>
      </w:pPr>
      <w:r>
        <w:rPr>
          <w:rFonts w:ascii="仿宋_GB2312" w:hAnsi="仿宋_GB2312" w:eastAsia="仿宋_GB2312"/>
          <w:b w:val="0"/>
          <w:sz w:val="28"/>
        </w:rPr>
        <w:t>“</w:t>
      </w:r>
      <w:r>
        <w:rPr>
          <w:rFonts w:hint="eastAsia" w:ascii="仿宋_GB2312" w:hAnsi="仿宋_GB2312" w:eastAsia="仿宋_GB2312"/>
          <w:b w:val="0"/>
          <w:sz w:val="28"/>
        </w:rPr>
        <w:t>无</w:t>
      </w:r>
      <w:r>
        <w:rPr>
          <w:rFonts w:ascii="仿宋_GB2312" w:hAnsi="仿宋_GB2312" w:eastAsia="仿宋_GB2312"/>
          <w:b w:val="0"/>
          <w:sz w:val="28"/>
        </w:rPr>
        <w:t>此类</w:t>
      </w:r>
      <w:r>
        <w:rPr>
          <w:rFonts w:hint="eastAsia" w:ascii="仿宋_GB2312" w:hAnsi="仿宋_GB2312" w:eastAsia="仿宋_GB2312"/>
          <w:b w:val="0"/>
          <w:sz w:val="28"/>
        </w:rPr>
        <w:t>指标</w:t>
      </w:r>
      <w:r>
        <w:rPr>
          <w:rFonts w:ascii="仿宋_GB2312" w:hAnsi="仿宋_GB2312" w:eastAsia="仿宋_GB2312"/>
          <w:b w:val="0"/>
          <w:sz w:val="28"/>
        </w:rPr>
        <w:t>”</w:t>
      </w:r>
      <w:r>
        <w:rPr>
          <w:rFonts w:hint="eastAsia" w:ascii="仿宋_GB2312" w:hAnsi="仿宋_GB2312" w:eastAsia="仿宋_GB2312"/>
          <w:b w:val="0"/>
          <w:sz w:val="28"/>
        </w:rPr>
        <w:t>；</w:t>
      </w:r>
    </w:p>
    <w:p>
      <w:pPr>
        <w:pStyle w:val="4"/>
        <w:ind w:firstLine="562"/>
      </w:pPr>
      <w:r>
        <w:rPr>
          <w:rFonts w:hint="eastAsia"/>
        </w:rPr>
        <w:t>4.可持续影响完成情况分析</w:t>
      </w:r>
    </w:p>
    <w:p>
      <w:pPr>
        <w:ind w:firstLine="560"/>
      </w:pPr>
      <w:r>
        <w:rPr>
          <w:rFonts w:hint="eastAsia"/>
        </w:rPr>
        <w:t>“动态监测医药价格”：预期指标值为持续监测，实际完成指标值为持续监测，指标完成率为100%。</w:t>
      </w:r>
    </w:p>
    <w:p>
      <w:pPr>
        <w:pStyle w:val="4"/>
        <w:ind w:firstLine="562"/>
      </w:pPr>
      <w:r>
        <w:rPr>
          <w:rFonts w:hint="eastAsia"/>
        </w:rPr>
        <w:t>5.满意度指标完成情况分析</w:t>
      </w:r>
    </w:p>
    <w:p>
      <w:pPr>
        <w:ind w:firstLine="560"/>
      </w:pPr>
      <w:r>
        <w:rPr>
          <w:rFonts w:hint="eastAsia"/>
        </w:rPr>
        <w:t>“参保群众满意度”：预期指标值为≥95%，实际完成指标值为100%，指标完成率为100%。</w:t>
      </w:r>
    </w:p>
    <w:p>
      <w:pPr>
        <w:ind w:firstLine="560"/>
      </w:pPr>
      <w:r>
        <w:rPr>
          <w:rFonts w:hint="eastAsia"/>
        </w:rPr>
        <w:t>“受益医疗机构满意度”：预期指标值为≥95%，实际完成指标值为100%，指标完成率为100%。</w:t>
      </w:r>
    </w:p>
    <w:p>
      <w:pPr>
        <w:pStyle w:val="3"/>
        <w:ind w:firstLine="643"/>
      </w:pPr>
      <w:r>
        <w:rPr>
          <w:rFonts w:hint="eastAsia"/>
        </w:rPr>
        <w:t>五、预算执行进度与绩效指标偏差</w:t>
      </w:r>
    </w:p>
    <w:p>
      <w:pPr>
        <w:ind w:firstLine="560"/>
      </w:pPr>
      <w:r>
        <w:rPr>
          <w:rFonts w:hint="eastAsia"/>
        </w:rPr>
        <w:t>本项目年初预算资金总额为7.00万元，全年预算数为7.00万元，全年执行数为7.00万元，预算执行率为100%。</w:t>
      </w:r>
    </w:p>
    <w:p>
      <w:pPr>
        <w:pStyle w:val="6"/>
        <w:ind w:firstLine="560"/>
      </w:pPr>
      <w:r>
        <w:rPr>
          <w:rFonts w:hint="eastAsia"/>
        </w:rPr>
        <w:t>本</w:t>
      </w:r>
      <w:r>
        <w:rPr>
          <w:rFonts w:hint="eastAsia"/>
          <w:lang w:val="zh-TW" w:eastAsia="zh-TW"/>
        </w:rPr>
        <w:t>项目共设置</w:t>
      </w:r>
      <w:r>
        <w:rPr>
          <w:rFonts w:hint="eastAsia"/>
        </w:rPr>
        <w:t>三级指标数量27</w:t>
      </w:r>
      <w:r>
        <w:rPr>
          <w:rFonts w:hint="eastAsia"/>
          <w:lang w:val="zh-TW" w:eastAsia="zh-TW"/>
        </w:rPr>
        <w:t>个，</w:t>
      </w:r>
      <w:r>
        <w:rPr>
          <w:rFonts w:hint="eastAsia"/>
          <w:lang w:val="zh-TW"/>
        </w:rPr>
        <w:t>满分指标数量</w:t>
      </w:r>
      <w:r>
        <w:rPr>
          <w:rFonts w:hint="eastAsia"/>
        </w:rPr>
        <w:t>27个，扣分指标数量0个，经分析计算所有三级指标完成率得出，本项目总体完成率为100%</w:t>
      </w:r>
    </w:p>
    <w:p>
      <w:pPr>
        <w:pStyle w:val="6"/>
        <w:ind w:firstLine="560"/>
      </w:pPr>
      <w:r>
        <w:rPr>
          <w:rFonts w:hint="eastAsia"/>
        </w:rPr>
        <w:t>综上所述本项目预算执行率与总体完成率之间的偏差为0%。</w:t>
      </w:r>
    </w:p>
    <w:p>
      <w:pPr>
        <w:pStyle w:val="3"/>
        <w:numPr>
          <w:ilvl w:val="0"/>
          <w:numId w:val="4"/>
        </w:numPr>
        <w:ind w:firstLineChars="0"/>
        <w:rPr>
          <w:rFonts w:eastAsia="仿宋GB2312" w:asciiTheme="minorEastAsia" w:hAnsiTheme="minorEastAsia"/>
          <w:b w:val="0"/>
          <w:kern w:val="2"/>
          <w:sz w:val="28"/>
          <w:szCs w:val="32"/>
        </w:rPr>
      </w:pPr>
      <w:r>
        <w:rPr>
          <w:rFonts w:hint="eastAsia"/>
        </w:rPr>
        <w:t>主要经验及做法、存在的问题及原因分析</w:t>
      </w:r>
    </w:p>
    <w:p>
      <w:pPr>
        <w:pStyle w:val="2"/>
        <w:numPr>
          <w:ilvl w:val="0"/>
          <w:numId w:val="5"/>
        </w:numPr>
        <w:ind w:firstLine="643"/>
      </w:pPr>
      <w:bookmarkStart w:id="12" w:name="_Toc28290"/>
      <w:bookmarkStart w:id="13" w:name="_Toc1921"/>
      <w:r>
        <w:rPr>
          <w:rFonts w:hint="eastAsia"/>
        </w:rPr>
        <w:t>主要经验及做法</w:t>
      </w:r>
      <w:bookmarkEnd w:id="12"/>
      <w:bookmarkEnd w:id="13"/>
    </w:p>
    <w:p>
      <w:pPr>
        <w:pStyle w:val="2"/>
        <w:ind w:firstLine="560"/>
        <w:rPr>
          <w:rFonts w:eastAsia="仿宋GB2312" w:asciiTheme="minorEastAsia" w:hAnsiTheme="minorEastAsia"/>
          <w:b w:val="0"/>
          <w:sz w:val="28"/>
          <w:szCs w:val="32"/>
        </w:rPr>
      </w:pPr>
      <w:r>
        <w:rPr>
          <w:rFonts w:hint="eastAsia" w:eastAsia="仿宋GB2312" w:asciiTheme="minorEastAsia" w:hAnsiTheme="minorEastAsia"/>
          <w:b w:val="0"/>
          <w:sz w:val="28"/>
          <w:szCs w:val="32"/>
        </w:rPr>
        <w:t>1.以健全医疗保障体系、保障困难群众基本医疗权益为目标，做好医保信息化、基金监管和支付方式改革等方面的工作，提升医疗保障经办和服务能力。</w:t>
      </w:r>
    </w:p>
    <w:p>
      <w:pPr>
        <w:ind w:firstLine="560" w:firstLineChars="0"/>
        <w:rPr>
          <w:rFonts w:eastAsia="仿宋GB2312" w:asciiTheme="minorEastAsia" w:hAnsiTheme="minorEastAsia"/>
          <w:szCs w:val="32"/>
        </w:rPr>
      </w:pPr>
      <w:r>
        <w:rPr>
          <w:rFonts w:hint="eastAsia" w:eastAsia="仿宋GB2312" w:asciiTheme="minorEastAsia" w:hAnsiTheme="minorEastAsia"/>
          <w:szCs w:val="32"/>
        </w:rPr>
        <w:t>2.为有效保障我县医保经办机构服务能力，加快支出进度，切实做好我县提升医保信息化水平，加强网络，信息安全，基础设施等方面建设，结合实际进行。加强打击欺诈骗保工作力度，切实保障医保基金合理有效使用。提升医保信息化水平，加强网络，信息安全，基础设施等方面建设，进一步夯实技术基础，切实保障医保信息系统高效，安全运行，提高数据采集质量，保障医保业务稳定运行。加强资金管理：明确资金应用范围，做到公开、透明、合理。同时，要切实加大项目资金使用的监管力度，杜绝违法违纪行为发生。</w:t>
      </w:r>
    </w:p>
    <w:p>
      <w:pPr>
        <w:pStyle w:val="2"/>
        <w:numPr>
          <w:ilvl w:val="0"/>
          <w:numId w:val="5"/>
        </w:numPr>
        <w:ind w:firstLine="643"/>
      </w:pPr>
      <w:r>
        <w:rPr>
          <w:rFonts w:hint="eastAsia"/>
        </w:rPr>
        <w:t>存在的问题及原因分析</w:t>
      </w:r>
    </w:p>
    <w:p>
      <w:pPr>
        <w:ind w:firstLine="560"/>
        <w:rPr>
          <w:rFonts w:hint="eastAsia"/>
        </w:rPr>
      </w:pPr>
      <w:r>
        <w:rPr>
          <w:rFonts w:hint="eastAsia"/>
        </w:rPr>
        <w:t>1.参保群众对医保政策知晓率、参与率不高，医保政策覆盖面不广的问题。由于信息闭塞且参保群众年纪较大，参保群众未能及时关注各个地区的医保政策的变化，另外相关部门宣传政策力度不够。</w:t>
      </w:r>
    </w:p>
    <w:p>
      <w:pPr>
        <w:ind w:firstLine="560"/>
      </w:pPr>
      <w:r>
        <w:t>2.医保基金综合监管不到位，影响居民参保积极性</w:t>
      </w:r>
    </w:p>
    <w:p>
      <w:pPr>
        <w:ind w:firstLine="560"/>
        <w:rPr>
          <w:rFonts w:hint="eastAsia"/>
        </w:rPr>
      </w:pPr>
      <w:r>
        <w:rPr>
          <w:rFonts w:hint="eastAsia"/>
        </w:rPr>
        <w:t>目前医疗机构存在的过度诊疗、各种“擦边球”、不合理扩大医保基金支出范围、甚至是欺诈骗保现象，造成了医保基金的损失。这反映出医保基金监管无论是从监管的主体、监管制度、监管流程等各方面，均存在这样或那样的漏洞、弱项和不足。医保基金的不合理利用及浪费，导致每年参保费用上涨，报销比例增幅缓慢甚至是不增长。两项因素叠加，削弱了基本医疗保险制度的公信力，影响居民参保的积极性。</w:t>
      </w:r>
    </w:p>
    <w:p>
      <w:pPr>
        <w:pStyle w:val="3"/>
        <w:ind w:firstLine="643"/>
      </w:pPr>
      <w:r>
        <w:rPr>
          <w:rFonts w:hint="eastAsia"/>
        </w:rPr>
        <w:t>七、有关建议</w:t>
      </w:r>
    </w:p>
    <w:p>
      <w:pPr>
        <w:ind w:firstLine="560"/>
        <w:rPr>
          <w:rFonts w:hint="eastAsia"/>
          <w:b/>
        </w:rPr>
      </w:pPr>
      <w:r>
        <w:rPr>
          <w:rFonts w:hint="eastAsia"/>
        </w:rPr>
        <w:t>（一）大力宣扬医保政策，例如开展宣讲会，向参保群众介绍医保政策相关问题，对老、弱、病、残、新生儿等特殊群体进行重点宣传,保证群众应保尽保,让</w:t>
      </w:r>
      <w:r>
        <w:t>医保政策最大程度惠及参保群众,提高群众对健康知识的知晓率。</w:t>
      </w:r>
      <w:r>
        <w:rPr>
          <w:rFonts w:hint="eastAsia"/>
        </w:rPr>
        <w:t>为参保群众答疑解惑，进而提升参保群众的知晓率、参与率以及支持率，促进改革落地见效。</w:t>
      </w:r>
    </w:p>
    <w:p>
      <w:pPr>
        <w:ind w:firstLine="560"/>
        <w:rPr>
          <w:rFonts w:hint="eastAsia"/>
          <w:b/>
        </w:rPr>
      </w:pPr>
      <w:r>
        <w:rPr>
          <w:rFonts w:hint="eastAsia"/>
        </w:rPr>
        <w:t>（二）合理控制医保基金支出，减轻筹资压力。医疗费用的日渐上涨，上涨率甚至大于人均收入水平的增长速度，医保基金的年支出和筹资给政府和个人带来了不小的压力。只有合理控制医保基金支出，才能控制筹资标准上涨，进而减轻筹资给个人和政府带来的压力。加强对医疗机构的监管、检查力度，不断完善医保系统考核评价机制、预拨付机制，反向倒逼医院主动提高控费意识，有效控制医保基金支出不合理增长现象。</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仿宋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1E25BD1"/>
    <w:multiLevelType w:val="multilevel"/>
    <w:tmpl w:val="31E25BD1"/>
    <w:lvl w:ilvl="0" w:tentative="0">
      <w:start w:val="6"/>
      <w:numFmt w:val="japaneseCounting"/>
      <w:lvlText w:val="%1、"/>
      <w:lvlJc w:val="left"/>
      <w:pPr>
        <w:ind w:left="1363" w:hanging="720"/>
      </w:pPr>
      <w:rPr>
        <w:rFonts w:hint="default" w:ascii="Times New Roman" w:hAnsi="Times New Roman" w:eastAsia="黑体"/>
        <w:b/>
        <w:sz w:val="32"/>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A3Y2FkMmEwMTI3ZGUwMWI2OTdkNjgyMjg5NWY3OGYifQ=="/>
  </w:docVars>
  <w:rsids>
    <w:rsidRoot w:val="68291A1A"/>
    <w:rsid w:val="00047C2F"/>
    <w:rsid w:val="0009429F"/>
    <w:rsid w:val="0012543B"/>
    <w:rsid w:val="001447C0"/>
    <w:rsid w:val="001570AD"/>
    <w:rsid w:val="00160582"/>
    <w:rsid w:val="001C088B"/>
    <w:rsid w:val="00272D23"/>
    <w:rsid w:val="00300A0D"/>
    <w:rsid w:val="003558E3"/>
    <w:rsid w:val="00375B41"/>
    <w:rsid w:val="003E0BAC"/>
    <w:rsid w:val="00422883"/>
    <w:rsid w:val="00443E3E"/>
    <w:rsid w:val="004B65E3"/>
    <w:rsid w:val="004E49BC"/>
    <w:rsid w:val="00513C55"/>
    <w:rsid w:val="005B6A91"/>
    <w:rsid w:val="005E4277"/>
    <w:rsid w:val="006300B9"/>
    <w:rsid w:val="006903EE"/>
    <w:rsid w:val="006A3264"/>
    <w:rsid w:val="006D02FA"/>
    <w:rsid w:val="00792D3A"/>
    <w:rsid w:val="00885A15"/>
    <w:rsid w:val="00886C8F"/>
    <w:rsid w:val="00930DA4"/>
    <w:rsid w:val="00940847"/>
    <w:rsid w:val="00962009"/>
    <w:rsid w:val="009C134A"/>
    <w:rsid w:val="009E1E09"/>
    <w:rsid w:val="00A43D0F"/>
    <w:rsid w:val="00A75FDA"/>
    <w:rsid w:val="00A83364"/>
    <w:rsid w:val="00AB4EB8"/>
    <w:rsid w:val="00AB7C2F"/>
    <w:rsid w:val="00AD31DF"/>
    <w:rsid w:val="00B20C9E"/>
    <w:rsid w:val="00B27ABC"/>
    <w:rsid w:val="00B52B78"/>
    <w:rsid w:val="00BB43FE"/>
    <w:rsid w:val="00C57EDF"/>
    <w:rsid w:val="00D06F07"/>
    <w:rsid w:val="00D078AD"/>
    <w:rsid w:val="00D42EC5"/>
    <w:rsid w:val="00DA0BA5"/>
    <w:rsid w:val="00DE1808"/>
    <w:rsid w:val="00E01AC9"/>
    <w:rsid w:val="00E44074"/>
    <w:rsid w:val="00E4524B"/>
    <w:rsid w:val="00EC2DA8"/>
    <w:rsid w:val="00EC4605"/>
    <w:rsid w:val="00F77FAE"/>
    <w:rsid w:val="00FB5B81"/>
    <w:rsid w:val="00FE2E85"/>
    <w:rsid w:val="01210E75"/>
    <w:rsid w:val="01E925F2"/>
    <w:rsid w:val="04FF572D"/>
    <w:rsid w:val="066F70AA"/>
    <w:rsid w:val="073F0F06"/>
    <w:rsid w:val="099D6902"/>
    <w:rsid w:val="0A401CF1"/>
    <w:rsid w:val="0AD64679"/>
    <w:rsid w:val="0D537DC9"/>
    <w:rsid w:val="0D76608D"/>
    <w:rsid w:val="0D885E3E"/>
    <w:rsid w:val="0E760F4E"/>
    <w:rsid w:val="0F9F0794"/>
    <w:rsid w:val="1103023A"/>
    <w:rsid w:val="118C0775"/>
    <w:rsid w:val="11B761D9"/>
    <w:rsid w:val="128D0D77"/>
    <w:rsid w:val="12F1313F"/>
    <w:rsid w:val="1609105D"/>
    <w:rsid w:val="17AF7810"/>
    <w:rsid w:val="1A041D47"/>
    <w:rsid w:val="1BEA0FE8"/>
    <w:rsid w:val="1C4A596B"/>
    <w:rsid w:val="20A32962"/>
    <w:rsid w:val="20B21A37"/>
    <w:rsid w:val="21A41209"/>
    <w:rsid w:val="23C93BD9"/>
    <w:rsid w:val="245E1E24"/>
    <w:rsid w:val="2482341A"/>
    <w:rsid w:val="256845EA"/>
    <w:rsid w:val="26EF3957"/>
    <w:rsid w:val="2A053F0F"/>
    <w:rsid w:val="2A0C569A"/>
    <w:rsid w:val="2A5C3075"/>
    <w:rsid w:val="2B1F5779"/>
    <w:rsid w:val="2C103347"/>
    <w:rsid w:val="2D18563E"/>
    <w:rsid w:val="2DFA2E97"/>
    <w:rsid w:val="2E483E7E"/>
    <w:rsid w:val="2FCE2953"/>
    <w:rsid w:val="2FDE37A9"/>
    <w:rsid w:val="315B7BD0"/>
    <w:rsid w:val="332F7DDD"/>
    <w:rsid w:val="33944516"/>
    <w:rsid w:val="33FE342B"/>
    <w:rsid w:val="3522787D"/>
    <w:rsid w:val="36185B49"/>
    <w:rsid w:val="38CC7587"/>
    <w:rsid w:val="39D67A87"/>
    <w:rsid w:val="3BB84807"/>
    <w:rsid w:val="3C494A2A"/>
    <w:rsid w:val="3ED454B4"/>
    <w:rsid w:val="402112BD"/>
    <w:rsid w:val="40BC3F95"/>
    <w:rsid w:val="413E2617"/>
    <w:rsid w:val="43EA2D93"/>
    <w:rsid w:val="446A2417"/>
    <w:rsid w:val="453453BA"/>
    <w:rsid w:val="49DF11B1"/>
    <w:rsid w:val="4A94466D"/>
    <w:rsid w:val="4A996944"/>
    <w:rsid w:val="4B545786"/>
    <w:rsid w:val="4C3216AC"/>
    <w:rsid w:val="4E4A6D47"/>
    <w:rsid w:val="4EC15329"/>
    <w:rsid w:val="4F733A2D"/>
    <w:rsid w:val="4FB67747"/>
    <w:rsid w:val="4FD56C07"/>
    <w:rsid w:val="506B1A13"/>
    <w:rsid w:val="511FF2A1"/>
    <w:rsid w:val="54D20290"/>
    <w:rsid w:val="55A5494A"/>
    <w:rsid w:val="56803BC3"/>
    <w:rsid w:val="56FD7960"/>
    <w:rsid w:val="59C02DAD"/>
    <w:rsid w:val="5B1433B1"/>
    <w:rsid w:val="5E0A0A9B"/>
    <w:rsid w:val="5F9C5101"/>
    <w:rsid w:val="618129F7"/>
    <w:rsid w:val="626F3307"/>
    <w:rsid w:val="62EE2619"/>
    <w:rsid w:val="653A5570"/>
    <w:rsid w:val="6584156C"/>
    <w:rsid w:val="66F91E37"/>
    <w:rsid w:val="672B5465"/>
    <w:rsid w:val="679303B9"/>
    <w:rsid w:val="68291A1A"/>
    <w:rsid w:val="691B1594"/>
    <w:rsid w:val="6CBF6EF4"/>
    <w:rsid w:val="6F0D6C22"/>
    <w:rsid w:val="6FD57E76"/>
    <w:rsid w:val="6FF06988"/>
    <w:rsid w:val="71801FA8"/>
    <w:rsid w:val="74370315"/>
    <w:rsid w:val="745F5557"/>
    <w:rsid w:val="74B60DFD"/>
    <w:rsid w:val="76D2301A"/>
    <w:rsid w:val="774329A8"/>
    <w:rsid w:val="77861774"/>
    <w:rsid w:val="79300B45"/>
    <w:rsid w:val="79A17504"/>
    <w:rsid w:val="79FF3433"/>
    <w:rsid w:val="7AB73395"/>
    <w:rsid w:val="7AE2272C"/>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link w:val="23"/>
    <w:qFormat/>
    <w:uiPriority w:val="0"/>
    <w:pPr>
      <w:keepNext/>
      <w:keepLines/>
      <w:ind w:firstLine="964"/>
      <w:outlineLvl w:val="0"/>
    </w:pPr>
    <w:rPr>
      <w:rFonts w:ascii="Times New Roman" w:hAnsi="Times New Roman" w:eastAsia="黑体"/>
      <w:b/>
      <w:kern w:val="44"/>
      <w:sz w:val="32"/>
      <w:szCs w:val="22"/>
    </w:rPr>
  </w:style>
  <w:style w:type="paragraph" w:styleId="2">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99"/>
    <w:pPr>
      <w:widowControl/>
      <w:spacing w:before="100" w:beforeAutospacing="1" w:after="100" w:afterAutospacing="1"/>
      <w:ind w:firstLine="200"/>
      <w:jc w:val="left"/>
    </w:pPr>
    <w:rPr>
      <w:rFonts w:ascii="宋体" w:hAnsi="宋体" w:eastAsia="宋体" w:cs="宋体"/>
      <w:kern w:val="0"/>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2"/>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7"/>
    <w:qFormat/>
    <w:uiPriority w:val="0"/>
    <w:rPr>
      <w:rFonts w:ascii="仿宋_GB2312" w:hAnsi="仿宋_GB2312" w:eastAsia="仿宋_GB2312"/>
      <w:kern w:val="2"/>
      <w:sz w:val="18"/>
      <w:szCs w:val="18"/>
    </w:rPr>
  </w:style>
  <w:style w:type="paragraph" w:styleId="22">
    <w:name w:val="List Paragraph"/>
    <w:basedOn w:val="1"/>
    <w:unhideWhenUsed/>
    <w:qFormat/>
    <w:uiPriority w:val="99"/>
    <w:pPr>
      <w:ind w:firstLine="420"/>
    </w:pPr>
  </w:style>
  <w:style w:type="character" w:customStyle="1" w:styleId="23">
    <w:name w:val="标题 1 Char"/>
    <w:basedOn w:val="13"/>
    <w:link w:val="3"/>
    <w:uiPriority w:val="0"/>
    <w:rPr>
      <w:rFonts w:eastAsia="黑体"/>
      <w:b/>
      <w:kern w:val="44"/>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26</Pages>
  <Words>2028</Words>
  <Characters>11561</Characters>
  <Lines>96</Lines>
  <Paragraphs>27</Paragraphs>
  <TotalTime>178</TotalTime>
  <ScaleCrop>false</ScaleCrop>
  <LinksUpToDate>false</LinksUpToDate>
  <CharactersWithSpaces>13562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2024-08-13T10:28:13Z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