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ascii="宋体" w:hAnsi="宋体" w:eastAsia="宋体" w:cs="Arial"/>
          <w:b/>
          <w:bCs/>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outlineLvl w:val="0"/>
        <w:rPr>
          <w:rFonts w:hint="eastAsia" w:ascii="黑体" w:hAnsi="黑体" w:eastAsia="黑体" w:cs="黑体"/>
          <w:b/>
          <w:bCs/>
          <w:color w:val="000000" w:themeColor="text1"/>
          <w:sz w:val="36"/>
          <w:szCs w:val="36"/>
          <w:highlight w:val="none"/>
          <w:lang w:val="en-US" w:eastAsia="zh-CN"/>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2022年中央财政城镇保障性安居工程专项资金</w:t>
      </w:r>
    </w:p>
    <w:p>
      <w:pPr>
        <w:spacing w:line="240" w:lineRule="atLeast"/>
        <w:ind w:firstLine="0" w:firstLineChars="0"/>
        <w:jc w:val="center"/>
        <w:outlineLvl w:val="0"/>
        <w:rPr>
          <w:rFonts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（棚户区改造）</w:t>
      </w:r>
      <w:r>
        <w:rPr>
          <w:rFonts w:hint="eastAsia" w:ascii="黑体" w:hAnsi="黑体" w:eastAsia="黑体" w:cs="黑体"/>
          <w:b/>
          <w:bCs/>
          <w:color w:val="000000" w:themeColor="text1"/>
          <w:sz w:val="36"/>
          <w:szCs w:val="36"/>
          <w:highlight w:val="none"/>
          <w14:textFill>
            <w14:solidFill>
              <w14:schemeClr w14:val="tx1"/>
            </w14:solidFill>
          </w14:textFill>
        </w:rPr>
        <w:t>支出绩效评价报告</w:t>
      </w: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spacing w:line="240" w:lineRule="atLeast"/>
        <w:ind w:firstLine="0" w:firstLineChars="0"/>
        <w:jc w:val="center"/>
        <w:rPr>
          <w:rFonts w:ascii="宋体" w:hAnsi="宋体" w:eastAsia="宋体" w:cs="Arial"/>
          <w:b/>
          <w:bCs/>
          <w:color w:val="000000" w:themeColor="text1"/>
          <w:sz w:val="36"/>
          <w:szCs w:val="36"/>
          <w:highlight w:val="none"/>
          <w14:textFill>
            <w14:solidFill>
              <w14:schemeClr w14:val="tx1"/>
            </w14:solidFill>
          </w14:textFill>
        </w:rPr>
      </w:pPr>
    </w:p>
    <w:p>
      <w:pPr>
        <w:ind w:firstLine="0" w:firstLineChars="0"/>
        <w:rPr>
          <w:color w:val="000000" w:themeColor="text1"/>
          <w:highlight w:val="none"/>
          <w14:textFill>
            <w14:solidFill>
              <w14:schemeClr w14:val="tx1"/>
            </w14:solidFill>
          </w14:textFill>
        </w:rPr>
      </w:pPr>
    </w:p>
    <w:p>
      <w:pPr>
        <w:pStyle w:val="2"/>
        <w:jc w:val="center"/>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2346" w:leftChars="300" w:hanging="1506" w:hangingChars="500"/>
        <w:jc w:val="both"/>
        <w:textAlignment w:val="auto"/>
        <w:rPr>
          <w:rFonts w:hint="eastAsia" w:ascii="黑体" w:hAnsi="Times New Roman" w:eastAsia="黑体"/>
          <w:b/>
          <w:color w:val="000000" w:themeColor="text1"/>
          <w:sz w:val="30"/>
          <w:szCs w:val="30"/>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项目名称：2022年中央财政城镇保障性安居工程专项资金（棚户区改造）</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default" w:ascii="黑体" w:hAnsi="Times New Roman" w:eastAsia="黑体"/>
          <w:b/>
          <w:color w:val="000000" w:themeColor="text1"/>
          <w:sz w:val="30"/>
          <w:szCs w:val="30"/>
          <w:highlight w:val="none"/>
          <w:lang w:val="en-US"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实施单位：</w:t>
      </w:r>
      <w:r>
        <w:rPr>
          <w:rFonts w:hint="eastAsia" w:ascii="黑体" w:hAnsi="Times New Roman" w:eastAsia="黑体"/>
          <w:b/>
          <w:color w:val="000000" w:themeColor="text1"/>
          <w:sz w:val="30"/>
          <w:szCs w:val="30"/>
          <w:highlight w:val="none"/>
          <w:lang w:val="en-US" w:eastAsia="zh-CN"/>
          <w14:textFill>
            <w14:solidFill>
              <w14:schemeClr w14:val="tx1"/>
            </w14:solidFill>
          </w14:textFill>
        </w:rPr>
        <w:t>洛浦县住房和城乡建设局</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default" w:ascii="黑体" w:hAnsi="Times New Roman" w:eastAsia="黑体"/>
          <w:b/>
          <w:color w:val="000000" w:themeColor="text1"/>
          <w:sz w:val="30"/>
          <w:szCs w:val="30"/>
          <w:highlight w:val="none"/>
          <w:lang w:val="en-US"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主管部门：</w:t>
      </w:r>
      <w:r>
        <w:rPr>
          <w:rFonts w:hint="eastAsia" w:ascii="黑体" w:hAnsi="Times New Roman" w:eastAsia="黑体"/>
          <w:b/>
          <w:color w:val="000000" w:themeColor="text1"/>
          <w:sz w:val="30"/>
          <w:szCs w:val="30"/>
          <w:highlight w:val="none"/>
          <w:lang w:val="en-US" w:eastAsia="zh-CN"/>
          <w14:textFill>
            <w14:solidFill>
              <w14:schemeClr w14:val="tx1"/>
            </w14:solidFill>
          </w14:textFill>
        </w:rPr>
        <w:t>洛浦县发展和改革委员会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default" w:ascii="黑体" w:hAnsi="Times New Roman" w:eastAsia="黑体"/>
          <w:b/>
          <w:color w:val="000000" w:themeColor="text1"/>
          <w:sz w:val="30"/>
          <w:szCs w:val="30"/>
          <w:highlight w:val="none"/>
          <w:lang w:val="en-US" w:eastAsia="zh-CN"/>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项目负责人：</w:t>
      </w:r>
      <w:r>
        <w:rPr>
          <w:rFonts w:hint="eastAsia" w:ascii="黑体" w:hAnsi="Times New Roman" w:eastAsia="黑体"/>
          <w:b/>
          <w:color w:val="000000" w:themeColor="text1"/>
          <w:sz w:val="30"/>
          <w:szCs w:val="30"/>
          <w:highlight w:val="none"/>
          <w:lang w:val="en-US" w:eastAsia="zh-CN"/>
          <w14:textFill>
            <w14:solidFill>
              <w14:schemeClr w14:val="tx1"/>
            </w14:solidFill>
          </w14:textFill>
        </w:rPr>
        <w:t>何晓强</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000000" w:themeColor="text1"/>
          <w:highlight w:val="none"/>
          <w14:textFill>
            <w14:solidFill>
              <w14:schemeClr w14:val="tx1"/>
            </w14:solidFill>
          </w14:textFill>
        </w:rPr>
      </w:pPr>
      <w:r>
        <w:rPr>
          <w:rFonts w:hint="eastAsia" w:ascii="黑体" w:hAnsi="Times New Roman" w:eastAsia="黑体"/>
          <w:b/>
          <w:color w:val="000000" w:themeColor="text1"/>
          <w:sz w:val="30"/>
          <w:szCs w:val="30"/>
          <w:highlight w:val="none"/>
          <w14:textFill>
            <w14:solidFill>
              <w14:schemeClr w14:val="tx1"/>
            </w14:solidFill>
          </w14:textFill>
        </w:rPr>
        <w:t>填报时间：202</w:t>
      </w:r>
      <w:r>
        <w:rPr>
          <w:rFonts w:hint="eastAsia" w:ascii="黑体" w:hAnsi="Times New Roman" w:eastAsia="黑体"/>
          <w:b/>
          <w:color w:val="000000" w:themeColor="text1"/>
          <w:sz w:val="30"/>
          <w:szCs w:val="30"/>
          <w:highlight w:val="none"/>
          <w:lang w:val="en-US" w:eastAsia="zh-CN"/>
          <w14:textFill>
            <w14:solidFill>
              <w14:schemeClr w14:val="tx1"/>
            </w14:solidFill>
          </w14:textFill>
        </w:rPr>
        <w:t>3</w:t>
      </w:r>
      <w:r>
        <w:rPr>
          <w:rFonts w:hint="eastAsia" w:ascii="黑体" w:hAnsi="Times New Roman" w:eastAsia="黑体"/>
          <w:b/>
          <w:color w:val="000000" w:themeColor="text1"/>
          <w:sz w:val="30"/>
          <w:szCs w:val="30"/>
          <w:highlight w:val="none"/>
          <w14:textFill>
            <w14:solidFill>
              <w14:schemeClr w14:val="tx1"/>
            </w14:solidFill>
          </w14:textFill>
        </w:rPr>
        <w:t>年</w:t>
      </w:r>
      <w:r>
        <w:rPr>
          <w:rFonts w:hint="eastAsia" w:ascii="黑体" w:hAnsi="Times New Roman" w:eastAsia="黑体"/>
          <w:b/>
          <w:color w:val="000000" w:themeColor="text1"/>
          <w:sz w:val="30"/>
          <w:szCs w:val="30"/>
          <w:highlight w:val="none"/>
          <w:lang w:val="en-US" w:eastAsia="zh-CN"/>
          <w14:textFill>
            <w14:solidFill>
              <w14:schemeClr w14:val="tx1"/>
            </w14:solidFill>
          </w14:textFill>
        </w:rPr>
        <w:t>2</w:t>
      </w:r>
      <w:r>
        <w:rPr>
          <w:rFonts w:hint="eastAsia" w:ascii="黑体" w:hAnsi="Times New Roman" w:eastAsia="黑体"/>
          <w:b/>
          <w:color w:val="000000" w:themeColor="text1"/>
          <w:sz w:val="30"/>
          <w:szCs w:val="30"/>
          <w:highlight w:val="none"/>
          <w14:textFill>
            <w14:solidFill>
              <w14:schemeClr w14:val="tx1"/>
            </w14:solidFill>
          </w14:textFill>
        </w:rPr>
        <w:t>月</w:t>
      </w:r>
      <w:r>
        <w:rPr>
          <w:rFonts w:hint="eastAsia" w:ascii="黑体" w:hAnsi="Times New Roman" w:eastAsia="黑体"/>
          <w:b/>
          <w:color w:val="000000" w:themeColor="text1"/>
          <w:sz w:val="30"/>
          <w:szCs w:val="30"/>
          <w:highlight w:val="none"/>
          <w:lang w:val="en-US" w:eastAsia="zh-CN"/>
          <w14:textFill>
            <w14:solidFill>
              <w14:schemeClr w14:val="tx1"/>
            </w14:solidFill>
          </w14:textFill>
        </w:rPr>
        <w:t>25</w:t>
      </w:r>
      <w:r>
        <w:rPr>
          <w:rFonts w:hint="eastAsia" w:ascii="黑体" w:hAnsi="Times New Roman" w:eastAsia="黑体"/>
          <w:b/>
          <w:color w:val="000000" w:themeColor="text1"/>
          <w:sz w:val="30"/>
          <w:szCs w:val="30"/>
          <w:highlight w:val="none"/>
          <w14:textFill>
            <w14:solidFill>
              <w14:schemeClr w14:val="tx1"/>
            </w14:solidFill>
          </w14:textFill>
        </w:rPr>
        <w:t>日</w:t>
      </w:r>
    </w:p>
    <w:p>
      <w:pPr>
        <w:ind w:firstLine="0" w:firstLineChars="0"/>
        <w:jc w:val="center"/>
        <w:rPr>
          <w:b/>
          <w:bCs/>
          <w:color w:val="000000" w:themeColor="text1"/>
          <w:sz w:val="32"/>
          <w:szCs w:val="28"/>
          <w:highlight w:val="none"/>
          <w14:textFill>
            <w14:solidFill>
              <w14:schemeClr w14:val="tx1"/>
            </w14:solidFill>
          </w14:textFill>
        </w:rPr>
      </w:pPr>
    </w:p>
    <w:p>
      <w:pPr>
        <w:ind w:firstLine="0" w:firstLineChars="0"/>
        <w:jc w:val="center"/>
        <w:rPr>
          <w:b/>
          <w:bCs/>
          <w:color w:val="000000" w:themeColor="text1"/>
          <w:sz w:val="36"/>
          <w:szCs w:val="32"/>
          <w:highlight w:val="none"/>
          <w14:textFill>
            <w14:solidFill>
              <w14:schemeClr w14:val="tx1"/>
            </w14:solidFill>
          </w14:textFill>
        </w:rPr>
      </w:pPr>
      <w:r>
        <w:rPr>
          <w:rFonts w:hint="eastAsia"/>
          <w:b/>
          <w:bCs/>
          <w:color w:val="000000" w:themeColor="text1"/>
          <w:sz w:val="40"/>
          <w:szCs w:val="36"/>
          <w:highlight w:val="none"/>
          <w14:textFill>
            <w14:solidFill>
              <w14:schemeClr w14:val="tx1"/>
            </w14:solidFill>
          </w14:textFill>
        </w:rPr>
        <w:t>2022年中央财政城镇保障性安居工程专项资金（棚户区改造）支出绩效评价报告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一、基本情况</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cs="仿宋_GB2312"/>
          <w:color w:val="000000" w:themeColor="text1"/>
          <w:sz w:val="28"/>
          <w:szCs w:val="28"/>
          <w:highlight w:val="none"/>
          <w:lang w:val="en-US" w:eastAsia="zh-CN"/>
          <w14:textFill>
            <w14:solidFill>
              <w14:schemeClr w14:val="tx1"/>
            </w14:solidFill>
          </w14:textFill>
        </w:rPr>
      </w:pPr>
      <w:r>
        <w:rPr>
          <w:rFonts w:hint="eastAsia" w:cs="仿宋_GB2312"/>
          <w:color w:val="000000" w:themeColor="text1"/>
          <w:sz w:val="28"/>
          <w:szCs w:val="28"/>
          <w:highlight w:val="none"/>
          <w:lang w:val="en-US" w:eastAsia="zh-CN"/>
          <w14:textFill>
            <w14:solidFill>
              <w14:schemeClr w14:val="tx1"/>
            </w14:solidFill>
          </w14:textFill>
        </w:rPr>
        <w:t>近年来，随着公共租赁住房、经济适用房建设和棚户区改造力度地逐步加大，城市低收入家庭地住房条件得到较大改善。但是，由于住房保障政策覆盖范围较小，部分大中城市商品住房价格较高、上涨过快，可供出租地小户型住房供应不足等原因，一些中等偏下收入住房困难家庭无力通过市场租赁或购买住房的问题比较突出。同时，随着城镇化快速推进，新职工的阶段性住房支付能力不足矛盾日益显著，外来务工人员居住条件需改善，大力发展公共租赁住房，是完善住房供应体系，培育住房租赁市场，满足城市中等偏下收入家庭基本住房需求的重要举措，中引导城镇居民合理住房消费，调整房地产市场供应结构的必然要求。为此，党中央国务院要求各地区、各部门统一思想，提高认识，精心组织，加大投入，积极稳妥地推进公共租赁住房建设，要按照党中央、国务院地决策部署，加大对欠发达地区扶持力度，坚持民生为先，在推进跨越式发展中更加注重保障和改善民生，各级政府要多渠道筹集资金，保证土地供应，健全退出等管理机制，大规模推进保障性安居工程建设，大力发展小户型、齐功能、质量可靠的公共租赁住房，使困难群众有安稳地住所，增强他们的生活和发展的信心。</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pStyle w:val="2"/>
        <w:ind w:firstLine="562"/>
        <w:jc w:val="left"/>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本项目的主要实施内容为：改造安居巴格片区和夏玛勒巴格片区的棚户区的620户，项目于2022年12月完成；项目总投资849万元，其中砖混结构房屋补偿单价1380元/平方米，砖木结构房屋补偿单价1150元/平方米，笆子墙结构房屋补偿单价720元/平方米，通过本项目的实施，有效推动民生发展，持续增强人民群众的幸福感，争取受益棚户区改造居民满意度达到95%及以上。</w:t>
      </w:r>
    </w:p>
    <w:p>
      <w:pPr>
        <w:pStyle w:val="2"/>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rFonts w:hint="default"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实施主体：</w:t>
      </w:r>
      <w:r>
        <w:rPr>
          <w:rFonts w:hint="eastAsia"/>
          <w:color w:val="000000" w:themeColor="text1"/>
          <w:highlight w:val="none"/>
          <w:lang w:val="en-US" w:eastAsia="zh-CN"/>
          <w14:textFill>
            <w14:solidFill>
              <w14:schemeClr w14:val="tx1"/>
            </w14:solidFill>
          </w14:textFill>
        </w:rPr>
        <w:t>洛浦县住房和城乡建设局</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本项目实施期限为202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月—202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项目前期阶段，项目经理应提前研究项目合同、项目建设方案、项目招标书/投标方案、项目评估表等相关文档，理解项目内容并整理相关问题。项目中期阶段，确定项目实施方案和目标，改造安居巴格片区和夏玛勒巴格片区的棚户区的620户，项目于2022年12月完成；项目总投资849万元，其中砖混结构房屋补偿单价1380元/平方米，砖木结构房屋补偿单价1150元/平方米，笆子墙结构房屋补偿单价720元/平方米，通过本项目的实施，有效推动民生发展，持续增强人民群众的幸福感，争取受益棚户区改造居民满意度达到95%及以上。</w:t>
      </w:r>
      <w:r>
        <w:rPr>
          <w:rFonts w:hint="eastAsia"/>
          <w:color w:val="000000" w:themeColor="text1"/>
          <w:highlight w:val="none"/>
          <w14:textFill>
            <w14:solidFill>
              <w14:schemeClr w14:val="tx1"/>
            </w14:solidFill>
          </w14:textFill>
        </w:rPr>
        <w:t>截</w:t>
      </w:r>
      <w:r>
        <w:rPr>
          <w:rFonts w:hint="eastAsia"/>
          <w:color w:val="000000" w:themeColor="text1"/>
          <w:highlight w:val="none"/>
          <w:lang w:eastAsia="zh-CN"/>
          <w14:textFill>
            <w14:solidFill>
              <w14:schemeClr w14:val="tx1"/>
            </w14:solidFill>
          </w14:textFill>
        </w:rPr>
        <w:t>至</w:t>
      </w:r>
      <w:r>
        <w:rPr>
          <w:rFonts w:hint="eastAsia"/>
          <w:color w:val="000000" w:themeColor="text1"/>
          <w:highlight w:val="none"/>
          <w14:textFill>
            <w14:solidFill>
              <w14:schemeClr w14:val="tx1"/>
            </w14:solidFill>
          </w14:textFill>
        </w:rPr>
        <w:t>2022年12月31日，本项目已完成改造安居巴格片区和夏玛勒巴格片区的棚户区的620户，项目于2022年12月完成；实际支出849万元，其中砖混结构房屋补偿单价1380元/平方米，砖木结构房屋补偿单价1150元/平方米，笆子墙结构房屋补偿单价720元/平方米，通过本项目的实施，有效推动了民生发展，持续增强了人民群众的幸福感，受益棚户区改造居民满意度达到100%。</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lang w:val="en-US" w:eastAsia="zh-CN"/>
          <w14:textFill>
            <w14:solidFill>
              <w14:schemeClr w14:val="tx1"/>
            </w14:solidFill>
          </w14:textFill>
        </w:rPr>
        <w:t>849</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中央补助资金715万元，自治区补助资金134万元。</w:t>
      </w:r>
      <w:r>
        <w:rPr>
          <w:rFonts w:hint="eastAsia"/>
          <w:color w:val="000000" w:themeColor="text1"/>
          <w:highlight w:val="none"/>
          <w:lang w:eastAsia="zh-CN"/>
          <w14:textFill>
            <w14:solidFill>
              <w14:schemeClr w14:val="tx1"/>
            </w14:solidFill>
          </w14:textFill>
        </w:rPr>
        <w:t>2022年</w:t>
      </w:r>
      <w:r>
        <w:rPr>
          <w:color w:val="000000" w:themeColor="text1"/>
          <w:highlight w:val="none"/>
          <w14:textFill>
            <w14:solidFill>
              <w14:schemeClr w14:val="tx1"/>
            </w14:solidFill>
          </w14:textFill>
        </w:rPr>
        <w:t>实际收到预算资金</w:t>
      </w:r>
      <w:r>
        <w:rPr>
          <w:rFonts w:hint="eastAsia"/>
          <w:color w:val="000000" w:themeColor="text1"/>
          <w:highlight w:val="none"/>
          <w:lang w:val="en-US" w:eastAsia="zh-CN"/>
          <w14:textFill>
            <w14:solidFill>
              <w14:schemeClr w14:val="tx1"/>
            </w14:solidFill>
          </w14:textFill>
        </w:rPr>
        <w:t>849</w:t>
      </w:r>
      <w:r>
        <w:rPr>
          <w:color w:val="000000" w:themeColor="text1"/>
          <w:highlight w:val="none"/>
          <w14:textFill>
            <w14:solidFill>
              <w14:schemeClr w14:val="tx1"/>
            </w14:solidFill>
          </w14:textFill>
        </w:rPr>
        <w:t>万元，预算资金到位率为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ind w:firstLine="56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本项目实际支付资金</w:t>
      </w:r>
      <w:r>
        <w:rPr>
          <w:rFonts w:hint="eastAsia"/>
          <w:color w:val="000000" w:themeColor="text1"/>
          <w:highlight w:val="none"/>
          <w:lang w:val="en-US" w:eastAsia="zh-CN"/>
          <w14:textFill>
            <w14:solidFill>
              <w14:schemeClr w14:val="tx1"/>
            </w14:solidFill>
          </w14:textFill>
        </w:rPr>
        <w:t>849</w:t>
      </w:r>
      <w:r>
        <w:rPr>
          <w:rFonts w:hint="eastAsia"/>
          <w:color w:val="000000" w:themeColor="text1"/>
          <w:highlight w:val="none"/>
          <w14:textFill>
            <w14:solidFill>
              <w14:schemeClr w14:val="tx1"/>
            </w14:solidFill>
          </w14:textFill>
        </w:rPr>
        <w:t>万元，预算执行率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本项目资金主要用于支付</w:t>
      </w:r>
      <w:r>
        <w:rPr>
          <w:rFonts w:hint="eastAsia"/>
          <w:color w:val="000000" w:themeColor="text1"/>
          <w:highlight w:val="none"/>
          <w:lang w:val="en-US" w:eastAsia="zh-CN"/>
          <w14:textFill>
            <w14:solidFill>
              <w14:schemeClr w14:val="tx1"/>
            </w14:solidFill>
          </w14:textFill>
        </w:rPr>
        <w:t>征迁补偿费849万元。</w:t>
      </w:r>
    </w:p>
    <w:p>
      <w:pPr>
        <w:pStyle w:val="4"/>
        <w:numPr>
          <w:ilvl w:val="0"/>
          <w:numId w:val="2"/>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改造安居巴格片区和夏玛勒巴格片区的棚户区的620户，项目于2022年12月完成；项目总投资849万元，其中砖混结构房屋补偿单价1380元/平方米，砖木结构房屋补偿单价1150元/平方米，笆子墙结构房屋补偿单价720元/平方米，通过本项目的实施，有效推动民生发展，持续增强人民群众的幸福感，争取受益棚户区改造居民满意度达到95%及以上。2.阶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棚户区改造户数</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预期指标值为≥620户</w:t>
      </w:r>
      <w:r>
        <w:rPr>
          <w:rFonts w:hint="eastAsia"/>
          <w:color w:val="000000" w:themeColor="text1"/>
          <w:highlight w:val="none"/>
          <w:lang w:val="en-US" w:eastAsia="zh-CN"/>
          <w14:textFill>
            <w14:solidFill>
              <w14:schemeClr w14:val="tx1"/>
            </w14:solidFill>
          </w14:textFill>
        </w:rPr>
        <w:t>；</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棚户区改造片区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预期指标值为≥2个</w:t>
      </w:r>
      <w:r>
        <w:rPr>
          <w:rFonts w:hint="eastAsia"/>
          <w:color w:val="000000" w:themeColor="text1"/>
          <w:highlight w:val="none"/>
          <w:lang w:val="en-US" w:eastAsia="zh-CN"/>
          <w14:textFill>
            <w14:solidFill>
              <w14:schemeClr w14:val="tx1"/>
            </w14:solidFill>
          </w14:textFill>
        </w:rPr>
        <w:t>；</w:t>
      </w:r>
    </w:p>
    <w:p>
      <w:pPr>
        <w:ind w:left="0" w:leftChars="0" w:firstLine="56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工程验收合格率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p>
    <w:p>
      <w:pPr>
        <w:ind w:firstLine="56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资金使用合规率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p>
    <w:p>
      <w:pPr>
        <w:ind w:left="0" w:leftChars="0" w:firstLine="56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项目完工时间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资金支付及时率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砖混结构房屋补偿标准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=1380元/平方米</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eastAsia="仿宋_GB2312"/>
          <w:color w:val="000000" w:themeColor="text1"/>
          <w:highlight w:val="none"/>
          <w:lang w:eastAsia="zh-CN"/>
          <w14:textFill>
            <w14:solidFill>
              <w14:schemeClr w14:val="tx1"/>
            </w14:solidFill>
          </w14:textFill>
        </w:rPr>
        <w:t>砖木结构房屋补偿标准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=1150元/平方米</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eastAsia="仿宋_GB2312"/>
          <w:color w:val="000000" w:themeColor="text1"/>
          <w:highlight w:val="none"/>
          <w:lang w:eastAsia="zh-CN"/>
          <w14:textFill>
            <w14:solidFill>
              <w14:schemeClr w14:val="tx1"/>
            </w14:solidFill>
          </w14:textFill>
        </w:rPr>
        <w:t>笆子墙结构房屋补偿标准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=720元/平方米</w:t>
      </w:r>
      <w:r>
        <w:rPr>
          <w:rFonts w:hint="eastAsia"/>
          <w:color w:val="000000" w:themeColor="text1"/>
          <w:highlight w:val="none"/>
          <w14:textFill>
            <w14:solidFill>
              <w14:schemeClr w14:val="tx1"/>
            </w14:solidFill>
          </w14:textFill>
        </w:rPr>
        <w:t>；</w:t>
      </w:r>
    </w:p>
    <w:p>
      <w:pPr>
        <w:ind w:left="0" w:leftChars="0" w:firstLine="560" w:firstLineChars="20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（2）项目效益</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①经济效益指标</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②社会效益指标</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推动民生发展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有效推动；</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③生态效益指标</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④可持续影响</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增强人民群众的幸福感</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持续增强；</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⑤</w:t>
      </w:r>
      <w:r>
        <w:rPr>
          <w:rFonts w:hint="eastAsia"/>
          <w:color w:val="000000" w:themeColor="text1"/>
          <w:highlight w:val="none"/>
          <w14:textFill>
            <w14:solidFill>
              <w14:schemeClr w14:val="tx1"/>
            </w14:solidFill>
          </w14:textFill>
        </w:rPr>
        <w:t>满意度指标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受益棚户区改造居民满意度，</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≥95%。</w:t>
      </w:r>
    </w:p>
    <w:p>
      <w:pPr>
        <w:pStyle w:val="3"/>
        <w:ind w:left="0" w:leftChars="0" w:firstLine="643"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4"/>
        <w:ind w:firstLine="643"/>
        <w:rPr>
          <w:color w:val="000000" w:themeColor="text1"/>
          <w:highlight w:val="none"/>
          <w14:textFill>
            <w14:solidFill>
              <w14:schemeClr w14:val="tx1"/>
            </w14:solidFill>
          </w14:textFill>
        </w:rPr>
      </w:pPr>
      <w:bookmarkStart w:id="0" w:name="_Toc480473081"/>
      <w:bookmarkStart w:id="1" w:name="_Toc22922"/>
      <w:bookmarkStart w:id="2" w:name="_Toc22169_WPSOffice_Level2"/>
      <w:bookmarkStart w:id="3" w:name="_Toc12868"/>
      <w:bookmarkStart w:id="4" w:name="_Toc26632"/>
      <w:bookmarkStart w:id="5" w:name="_Toc21664"/>
      <w:bookmarkStart w:id="6" w:name="_Toc5462343"/>
      <w:bookmarkStart w:id="7" w:name="_Toc5258"/>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单位针对2022年中央财政城镇保障性安居工程专项资金（棚户区改造）项目开展本次部门项目支出绩效评价工作。通过绩效评价，促进本单位发现问题、总结经验、改进工作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此次我单位根据《财政支出绩效评价管理暂行办法》（财预〔2020〕10号）文件要求实施评价工作，本次评价对象为2022年中央财政城镇保障性安居工程专项资金（棚户区改造）项目，评价核心为项目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4"/>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419984722"/>
      <w:bookmarkStart w:id="9" w:name="_Toc26131"/>
      <w:bookmarkStart w:id="10" w:name="_Toc428278230"/>
      <w:bookmarkStart w:id="11" w:name="_Toc1913"/>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（3）绩教评价报告应当简明扼要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：项目支出绩效评价绩效评价体系”。</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w:t>
      </w:r>
      <w:r>
        <w:rPr>
          <w:rFonts w:hint="eastAsia"/>
          <w:color w:val="000000" w:themeColor="text1"/>
          <w:highlight w:val="none"/>
          <w:lang w:eastAsia="zh-CN"/>
          <w14:textFill>
            <w14:solidFill>
              <w14:schemeClr w14:val="tx1"/>
            </w14:solidFill>
          </w14:textFill>
        </w:rPr>
        <w:t>至</w:t>
      </w:r>
      <w:r>
        <w:rPr>
          <w:rFonts w:hint="eastAsia"/>
          <w:color w:val="000000" w:themeColor="text1"/>
          <w:highlight w:val="none"/>
          <w14:textFill>
            <w14:solidFill>
              <w14:schemeClr w14:val="tx1"/>
            </w14:solidFill>
          </w14:textFill>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成本效益分析法</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分析在产出一定的情况下，成本取值是否有依据，是否经过询价，是否按照市场最低成本编制。</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何晓强</w:t>
      </w:r>
      <w:r>
        <w:rPr>
          <w:rFonts w:hint="eastAsia"/>
          <w:color w:val="000000" w:themeColor="text1"/>
          <w:highlight w:val="none"/>
          <w14:textFill>
            <w14:solidFill>
              <w14:schemeClr w14:val="tx1"/>
            </w14:solidFill>
          </w14:textFill>
        </w:rPr>
        <w:t>（评价小组组长）：主要负责</w:t>
      </w:r>
      <w:r>
        <w:rPr>
          <w:rFonts w:hint="eastAsia"/>
          <w:color w:val="000000" w:themeColor="text1"/>
          <w:highlight w:val="none"/>
          <w:lang w:val="en-US" w:eastAsia="zh-CN"/>
          <w14:textFill>
            <w14:solidFill>
              <w14:schemeClr w14:val="tx1"/>
            </w14:solidFill>
          </w14:textFill>
        </w:rPr>
        <w:t>绩效评价工作总负责，统筹安排各项工作</w:t>
      </w:r>
      <w:r>
        <w:rPr>
          <w:rFonts w:hint="eastAsia"/>
          <w:color w:val="000000" w:themeColor="text1"/>
          <w:highlight w:val="none"/>
          <w14:textFill>
            <w14:solidFill>
              <w14:schemeClr w14:val="tx1"/>
            </w14:solidFill>
          </w14:textFill>
        </w:rPr>
        <w:t>;</w:t>
      </w:r>
    </w:p>
    <w:p>
      <w:pPr>
        <w:ind w:firstLine="560"/>
        <w:rPr>
          <w:rFonts w:hint="default"/>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徐元芬</w:t>
      </w:r>
      <w:r>
        <w:rPr>
          <w:rFonts w:hint="eastAsia"/>
          <w:color w:val="000000" w:themeColor="text1"/>
          <w:highlight w:val="none"/>
          <w14:textFill>
            <w14:solidFill>
              <w14:schemeClr w14:val="tx1"/>
            </w14:solidFill>
          </w14:textFill>
        </w:rPr>
        <w:t>（评价小组组员）：主要</w:t>
      </w:r>
      <w:r>
        <w:rPr>
          <w:rFonts w:hint="eastAsia" w:ascii="仿宋_GB2312" w:hAnsi="仿宋_GB2312" w:eastAsia="仿宋_GB2312" w:cs="仿宋_GB2312"/>
          <w:b w:val="0"/>
          <w:bCs w:val="0"/>
          <w:color w:val="000000" w:themeColor="text1"/>
          <w:kern w:val="2"/>
          <w:sz w:val="28"/>
          <w:szCs w:val="28"/>
          <w:highlight w:val="none"/>
          <w:lang w:val="en-US" w:eastAsia="zh-CN" w:bidi="ar-SA"/>
          <w14:textFill>
            <w14:solidFill>
              <w14:schemeClr w14:val="tx1"/>
            </w14:solidFill>
          </w14:textFill>
        </w:rPr>
        <w:t>针对项目实施及效益情况展开自评</w:t>
      </w:r>
      <w:r>
        <w:rPr>
          <w:rFonts w:hint="eastAsia" w:cs="仿宋_GB2312"/>
          <w:b w:val="0"/>
          <w:bCs w:val="0"/>
          <w:color w:val="000000" w:themeColor="text1"/>
          <w:kern w:val="2"/>
          <w:sz w:val="28"/>
          <w:szCs w:val="28"/>
          <w:highlight w:val="none"/>
          <w:lang w:val="en-US" w:eastAsia="zh-CN" w:bidi="ar-SA"/>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冯伟</w:t>
      </w:r>
      <w:r>
        <w:rPr>
          <w:rFonts w:hint="eastAsia"/>
          <w:color w:val="000000" w:themeColor="text1"/>
          <w:highlight w:val="none"/>
          <w14:textFill>
            <w14:solidFill>
              <w14:schemeClr w14:val="tx1"/>
            </w14:solidFill>
          </w14:textFill>
        </w:rPr>
        <w:t>（评价小组组员）：主要</w:t>
      </w:r>
      <w:r>
        <w:rPr>
          <w:rFonts w:hint="eastAsia" w:ascii="仿宋_GB2312" w:hAnsi="仿宋_GB2312" w:eastAsia="仿宋_GB2312" w:cs="仿宋_GB2312"/>
          <w:b w:val="0"/>
          <w:bCs w:val="0"/>
          <w:color w:val="000000" w:themeColor="text1"/>
          <w:kern w:val="2"/>
          <w:sz w:val="28"/>
          <w:szCs w:val="28"/>
          <w:highlight w:val="none"/>
          <w:lang w:val="en-US" w:eastAsia="zh-CN" w:bidi="ar-SA"/>
          <w14:textFill>
            <w14:solidFill>
              <w14:schemeClr w14:val="tx1"/>
            </w14:solidFill>
          </w14:textFill>
        </w:rPr>
        <w:t>对衔接资金使用情况开展自评</w:t>
      </w:r>
      <w:r>
        <w:rPr>
          <w:rFonts w:hint="eastAsia" w:cs="仿宋_GB2312"/>
          <w:b w:val="0"/>
          <w:bCs w:val="0"/>
          <w:color w:val="000000" w:themeColor="text1"/>
          <w:kern w:val="2"/>
          <w:sz w:val="28"/>
          <w:szCs w:val="28"/>
          <w:highlight w:val="none"/>
          <w:lang w:val="en-US" w:eastAsia="zh-CN" w:bidi="ar-SA"/>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2月28日-3月2日，评价小组按照绩效评价的原则和规范，对取得的资料进行审查核实，对采集的数据进行分析，按照绩效评价指标评分表逐项进行打分、分析、汇总各方评价结果。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2023年</w:t>
      </w:r>
      <w:r>
        <w:rPr>
          <w:rFonts w:hint="eastAsia"/>
          <w:color w:val="000000" w:themeColor="text1"/>
          <w:highlight w:val="none"/>
          <w14:textFill>
            <w14:solidFill>
              <w14:schemeClr w14:val="tx1"/>
            </w14:solidFill>
          </w14:textFill>
        </w:rPr>
        <w:t>3月2日-3月4日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4"/>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一是：</w:t>
      </w:r>
      <w:r>
        <w:rPr>
          <w:rFonts w:hint="eastAsia"/>
          <w:color w:val="000000" w:themeColor="text1"/>
          <w:highlight w:val="none"/>
          <w:lang w:val="en-US" w:eastAsia="zh-CN"/>
          <w14:textFill>
            <w14:solidFill>
              <w14:schemeClr w14:val="tx1"/>
            </w14:solidFill>
          </w14:textFill>
        </w:rPr>
        <w:t>能够按照约定完成相应的工程进度。本项目已完成改造安居巴格片区和夏玛勒巴格片区的棚户区的620户，项目于2022年12月完成；</w:t>
      </w:r>
    </w:p>
    <w:p>
      <w:pPr>
        <w:ind w:firstLine="560"/>
        <w:rPr>
          <w:rFonts w:hint="default" w:eastAsia="仿宋_GB2312"/>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二是：</w:t>
      </w:r>
      <w:r>
        <w:rPr>
          <w:rFonts w:hint="eastAsia"/>
          <w:color w:val="000000" w:themeColor="text1"/>
          <w:highlight w:val="none"/>
          <w:lang w:val="en-US" w:eastAsia="zh-CN"/>
          <w14:textFill>
            <w14:solidFill>
              <w14:schemeClr w14:val="tx1"/>
            </w14:solidFill>
          </w14:textFill>
        </w:rPr>
        <w:t>资金支付及时，合规，专款专用，严格金使用范围。实际支出849万元，其中砖混结构房屋补偿单价1380元/平方米，砖木结构房屋补偿单价1150元/平方米，笆子墙结构房屋补偿单价720元/平方米</w:t>
      </w:r>
    </w:p>
    <w:p>
      <w:pPr>
        <w:pStyle w:val="4"/>
        <w:ind w:left="560" w:leftChars="200" w:firstLine="0" w:firstLineChars="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三是：有效改善了群众居住条件，持续增强了人民群众幸福感。通过本项目的实施，有效推动了民生发展，持续增强了人民群众的幸福感，受益棚户区改造居民满意度达到100%。</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val="en-US"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3"/>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国务院办公厅关于保障性安居工程建设和管理的指导意见</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国办发【2015】45号</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val="en-US" w:eastAsia="zh-CN"/>
          <w14:textFill>
            <w14:solidFill>
              <w14:schemeClr w14:val="tx1"/>
            </w14:solidFill>
          </w14:textFill>
        </w:rPr>
        <w:t>洛浦县住房和城乡建设局</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Hans"/>
          <w14:textFill>
            <w14:solidFill>
              <w14:schemeClr w14:val="tx1"/>
            </w14:solidFill>
          </w14:textFill>
        </w:rPr>
        <w:t>配置内设机构和人员编制规定》中职责范围</w:t>
      </w:r>
      <w:r>
        <w:rPr>
          <w:rFonts w:hint="eastAsia"/>
          <w:color w:val="000000" w:themeColor="text1"/>
          <w:highlight w:val="none"/>
          <w14:textFill>
            <w14:solidFill>
              <w14:schemeClr w14:val="tx1"/>
            </w14:solidFill>
          </w14:textFill>
        </w:rPr>
        <w:t>中的“</w:t>
      </w:r>
      <w:r>
        <w:rPr>
          <w:rFonts w:hint="eastAsia"/>
          <w:color w:val="000000" w:themeColor="text1"/>
          <w:highlight w:val="none"/>
          <w:lang w:val="en-US" w:eastAsia="zh-CN"/>
          <w14:textFill>
            <w14:solidFill>
              <w14:schemeClr w14:val="tx1"/>
            </w14:solidFill>
          </w14:textFill>
        </w:rPr>
        <w:t>承担保障城镇低收入家庭住房的责任。拟订住房保障相关政策措施并指导实施；拟订公共租赁住房和城镇棚户区改造规划及建设管理办法，会同县有关部门承担国家和自治区有关公共租赁住房和城市棚户区改造资金安排工作并实施；编制住房保障发展规划和年度计划并实施。</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属于</w:t>
      </w:r>
      <w:r>
        <w:rPr>
          <w:rFonts w:hint="eastAsia"/>
          <w:color w:val="000000" w:themeColor="text1"/>
          <w:highlight w:val="none"/>
          <w14:textFill>
            <w14:solidFill>
              <w14:schemeClr w14:val="tx1"/>
            </w14:solidFill>
          </w14:textFill>
        </w:rPr>
        <w:t>我单位</w:t>
      </w:r>
      <w:r>
        <w:rPr>
          <w:rFonts w:hint="eastAsia"/>
          <w:color w:val="000000" w:themeColor="text1"/>
          <w:highlight w:val="none"/>
          <w:lang w:eastAsia="zh-Hans"/>
          <w14:textFill>
            <w14:solidFill>
              <w14:schemeClr w14:val="tx1"/>
            </w14:solidFill>
          </w14:textFill>
        </w:rPr>
        <w:t>履职所需</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lang w:val="en-US" w:eastAsia="zh-CN"/>
          <w14:textFill>
            <w14:solidFill>
              <w14:schemeClr w14:val="tx1"/>
            </w14:solidFill>
          </w14:textFill>
        </w:rPr>
        <w:t>2210103棚户区改造</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val="en-US" w:eastAsia="zh-CN"/>
          <w14:textFill>
            <w14:solidFill>
              <w14:schemeClr w14:val="tx1"/>
            </w14:solidFill>
          </w14:textFill>
        </w:rPr>
        <w:t>50305土地征迁补偿和安置支出</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color w:val="000000" w:themeColor="text1"/>
          <w:highlight w:val="none"/>
          <w:lang w:val="en-US" w:eastAsia="zh-CN"/>
          <w14:textFill>
            <w14:solidFill>
              <w14:schemeClr w14:val="tx1"/>
            </w14:solidFill>
          </w14:textFill>
        </w:rPr>
        <w:t>在</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val="en-US" w:eastAsia="zh-CN"/>
          <w14:textFill>
            <w14:solidFill>
              <w14:schemeClr w14:val="tx1"/>
            </w14:solidFill>
          </w14:textFill>
        </w:rPr>
        <w:t>特定</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lang w:val="en-US" w:eastAsia="zh-CN"/>
          <w14:textFill>
            <w14:solidFill>
              <w14:schemeClr w14:val="tx1"/>
            </w14:solidFill>
          </w14:textFill>
        </w:rPr>
        <w:t>849</w:t>
      </w:r>
      <w:r>
        <w:rPr>
          <w:rFonts w:hint="eastAsia"/>
          <w:color w:val="000000" w:themeColor="text1"/>
          <w:highlight w:val="none"/>
          <w:lang w:eastAsia="zh-Hans"/>
          <w14:textFill>
            <w14:solidFill>
              <w14:schemeClr w14:val="tx1"/>
            </w14:solidFill>
          </w14:textFill>
        </w:rPr>
        <w:t>万元，不涉及</w:t>
      </w:r>
      <w:r>
        <w:rPr>
          <w:rFonts w:hint="eastAsia"/>
          <w:color w:val="000000" w:themeColor="text1"/>
          <w:highlight w:val="none"/>
          <w14:textFill>
            <w14:solidFill>
              <w14:schemeClr w14:val="tx1"/>
            </w14:solidFill>
          </w14:textFill>
        </w:rPr>
        <w:t>事前绩效评估和风险评估</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本项目已设置年度绩效目标，具体内容为“改造安居巴格片区和夏玛勒巴格片区的棚户区的620户</w:t>
      </w:r>
      <w:r>
        <w:rPr>
          <w:rFonts w:hint="eastAsia"/>
          <w:color w:val="000000" w:themeColor="text1"/>
          <w:highlight w:val="none"/>
          <w:lang w:val="en-US" w:eastAsia="zh-CN"/>
          <w14:textFill>
            <w14:solidFill>
              <w14:schemeClr w14:val="tx1"/>
            </w14:solidFill>
          </w14:textFill>
        </w:rPr>
        <w:t>征迁补偿</w:t>
      </w:r>
      <w:r>
        <w:rPr>
          <w:rFonts w:hint="eastAsia"/>
          <w:color w:val="000000" w:themeColor="text1"/>
          <w:highlight w:val="none"/>
          <w14:textFill>
            <w14:solidFill>
              <w14:schemeClr w14:val="tx1"/>
            </w14:solidFill>
          </w14:textFill>
        </w:rPr>
        <w:t>，项目于2022年12月完成；”；本项目实际工作为：截</w:t>
      </w:r>
      <w:r>
        <w:rPr>
          <w:rFonts w:hint="eastAsia"/>
          <w:color w:val="000000" w:themeColor="text1"/>
          <w:highlight w:val="none"/>
          <w:lang w:eastAsia="zh-CN"/>
          <w14:textFill>
            <w14:solidFill>
              <w14:schemeClr w14:val="tx1"/>
            </w14:solidFill>
          </w14:textFill>
        </w:rPr>
        <w:t>至</w:t>
      </w:r>
      <w:r>
        <w:rPr>
          <w:rFonts w:hint="eastAsia"/>
          <w:color w:val="000000" w:themeColor="text1"/>
          <w:highlight w:val="none"/>
          <w14:textFill>
            <w14:solidFill>
              <w14:schemeClr w14:val="tx1"/>
            </w14:solidFill>
          </w14:textFill>
        </w:rPr>
        <w:t>2022年12月31日，本项目已完成改造安居巴格片区和夏玛勒巴格片区的棚户区的620户</w:t>
      </w:r>
      <w:r>
        <w:rPr>
          <w:rFonts w:hint="eastAsia"/>
          <w:color w:val="000000" w:themeColor="text1"/>
          <w:highlight w:val="none"/>
          <w:lang w:val="en-US" w:eastAsia="zh-CN"/>
          <w14:textFill>
            <w14:solidFill>
              <w14:schemeClr w14:val="tx1"/>
            </w14:solidFill>
          </w14:textFill>
        </w:rPr>
        <w:t>征迁补偿</w:t>
      </w:r>
      <w:r>
        <w:rPr>
          <w:rFonts w:hint="eastAsia"/>
          <w:color w:val="000000" w:themeColor="text1"/>
          <w:highlight w:val="none"/>
          <w14:textFill>
            <w14:solidFill>
              <w14:schemeClr w14:val="tx1"/>
            </w14:solidFill>
          </w14:textFill>
        </w:rPr>
        <w:t>，项目于2022年12月完成。绩效目标与实际工作内容一致，两者具有相关性;本项目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有效推动了民生发展，持续增强了人民群众的幸福感，受益棚户区改造居民满意度达到100%。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75</w:t>
      </w:r>
      <w:r>
        <w:rPr>
          <w:rFonts w:hint="eastAsia"/>
          <w:color w:val="000000" w:themeColor="text1"/>
          <w:highlight w:val="none"/>
          <w:lang w:eastAsia="zh-Hans"/>
          <w14:textFill>
            <w14:solidFill>
              <w14:schemeClr w14:val="tx1"/>
            </w14:solidFill>
          </w14:textFill>
        </w:rPr>
        <w:t>%，量化率达70%以上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bidi="ar"/>
          <w14:textFill>
            <w14:solidFill>
              <w14:schemeClr w14:val="tx1"/>
            </w14:solidFill>
          </w14:textFill>
        </w:rPr>
        <w:t>改造安居巴格片区和夏玛勒巴格片区的棚户区的620户，项目于2022年12月完成；项目总投资849万元，其中砖混结构房屋补偿单价1380元/平方米，砖木结构房屋补偿单价1150元/平方米，笆子墙结构房屋补偿单价720元/平方米，通过本项目的实施，有效推动民生发展，持续增强人民群众的幸福感，争取受益棚户区改造居民满意度达到95%及以上。</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bidi="ar"/>
          <w14:textFill>
            <w14:solidFill>
              <w14:schemeClr w14:val="tx1"/>
            </w14:solidFill>
          </w14:textFill>
        </w:rPr>
        <w:t>截</w:t>
      </w:r>
      <w:r>
        <w:rPr>
          <w:rFonts w:hint="eastAsia"/>
          <w:color w:val="000000" w:themeColor="text1"/>
          <w:highlight w:val="none"/>
          <w:lang w:eastAsia="zh-CN" w:bidi="ar"/>
          <w14:textFill>
            <w14:solidFill>
              <w14:schemeClr w14:val="tx1"/>
            </w14:solidFill>
          </w14:textFill>
        </w:rPr>
        <w:t>至</w:t>
      </w:r>
      <w:bookmarkStart w:id="14" w:name="_GoBack"/>
      <w:bookmarkEnd w:id="14"/>
      <w:r>
        <w:rPr>
          <w:rFonts w:hint="eastAsia"/>
          <w:color w:val="000000" w:themeColor="text1"/>
          <w:highlight w:val="none"/>
          <w:lang w:bidi="ar"/>
          <w14:textFill>
            <w14:solidFill>
              <w14:schemeClr w14:val="tx1"/>
            </w14:solidFill>
          </w14:textFill>
        </w:rPr>
        <w:t>2022年12月31日，本项目已完成改造安居巴格片区和夏玛勒巴格片区的棚户区的620户，项目于2022年12月完成；实际支出849万元，其中砖混结构房屋补偿单价1380元/平方米，砖木结构房屋补偿单价1150元/平方米，笆子墙结构房屋补偿单价720元/平方米，通过本项目的实施，有效推动了民生发展，持续增强了人民群众的幸福感，受益棚户区改造居民满意度达到100%。</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val="en-US" w:eastAsia="zh-CN" w:bidi="ar"/>
          <w14:textFill>
            <w14:solidFill>
              <w14:schemeClr w14:val="tx1"/>
            </w14:solidFill>
          </w14:textFill>
        </w:rPr>
        <w:t>2022年棚户区改造</w:t>
      </w:r>
      <w:r>
        <w:rPr>
          <w:rFonts w:hint="eastAsia"/>
          <w:color w:val="000000" w:themeColor="text1"/>
          <w:highlight w:val="none"/>
          <w:lang w:bidi="ar"/>
          <w14:textFill>
            <w14:solidFill>
              <w14:schemeClr w14:val="tx1"/>
            </w14:solidFill>
          </w14:textFill>
        </w:rPr>
        <w:t>项目实施方案</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本项目预算申请资金</w:t>
      </w:r>
      <w:r>
        <w:rPr>
          <w:rFonts w:hint="eastAsia"/>
          <w:color w:val="000000" w:themeColor="text1"/>
          <w:highlight w:val="none"/>
          <w:lang w:val="en-US" w:eastAsia="zh-CN"/>
          <w14:textFill>
            <w14:solidFill>
              <w14:schemeClr w14:val="tx1"/>
            </w14:solidFill>
          </w14:textFill>
        </w:rPr>
        <w:t>849</w:t>
      </w:r>
      <w:r>
        <w:rPr>
          <w:rFonts w:hint="eastAsia"/>
          <w:color w:val="000000" w:themeColor="text1"/>
          <w:highlight w:val="none"/>
          <w14:textFill>
            <w14:solidFill>
              <w14:schemeClr w14:val="tx1"/>
            </w14:solidFill>
          </w14:textFill>
        </w:rPr>
        <w:t>万元，我单位在预算申请中严格按照单位标准和数量进行核算，其中：砖混结构房屋补偿标准1380元/平方米</w:t>
      </w:r>
      <w:r>
        <w:rPr>
          <w:rFonts w:hint="eastAsia"/>
          <w:color w:val="000000" w:themeColor="text1"/>
          <w:highlight w:val="none"/>
          <w:lang w:eastAsia="zh-CN"/>
          <w14:textFill>
            <w14:solidFill>
              <w14:schemeClr w14:val="tx1"/>
            </w14:solidFill>
          </w14:textFill>
        </w:rPr>
        <w:t>，砖木结构房屋补偿标准1150元/平方米，笆子墙结构房屋补偿标准720元/平方米，</w:t>
      </w:r>
      <w:r>
        <w:rPr>
          <w:rFonts w:hint="eastAsia"/>
          <w:color w:val="000000" w:themeColor="text1"/>
          <w:highlight w:val="none"/>
          <w:lang w:val="en-US" w:eastAsia="zh-CN"/>
          <w14:textFill>
            <w14:solidFill>
              <w14:schemeClr w14:val="tx1"/>
            </w14:solidFill>
          </w14:textFill>
        </w:rPr>
        <w:t>数量为620户，</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《2022年中央财政城镇保障性安居工程专项资金（棚户区改造）</w:t>
      </w:r>
      <w:r>
        <w:rPr>
          <w:rFonts w:hint="eastAsia"/>
          <w:color w:val="000000" w:themeColor="text1"/>
          <w:highlight w:val="none"/>
          <w:lang w:bidi="ar"/>
          <w14:textFill>
            <w14:solidFill>
              <w14:schemeClr w14:val="tx1"/>
            </w14:solidFill>
          </w14:textFill>
        </w:rPr>
        <w:t>的请示</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bidi="ar"/>
          <w14:textFill>
            <w14:solidFill>
              <w14:schemeClr w14:val="tx1"/>
            </w14:solidFill>
          </w14:textFill>
        </w:rPr>
        <w:t>和《2022年中央财政城镇保障性安居工程专项资金（棚户区改造）</w:t>
      </w:r>
      <w:r>
        <w:rPr>
          <w:rFonts w:hint="eastAsia"/>
          <w:color w:val="000000" w:themeColor="text1"/>
          <w:highlight w:val="none"/>
          <w:lang w:val="en-US" w:eastAsia="zh-CN" w:bidi="ar"/>
          <w14:textFill>
            <w14:solidFill>
              <w14:schemeClr w14:val="tx1"/>
            </w14:solidFill>
          </w14:textFill>
        </w:rPr>
        <w:t>项目</w:t>
      </w:r>
      <w:r>
        <w:rPr>
          <w:rFonts w:hint="eastAsia"/>
          <w:color w:val="000000" w:themeColor="text1"/>
          <w:highlight w:val="none"/>
          <w:lang w:bidi="ar"/>
          <w14:textFill>
            <w14:solidFill>
              <w14:schemeClr w14:val="tx1"/>
            </w14:solidFill>
          </w14:textFill>
        </w:rPr>
        <w:t>实施方案》</w:t>
      </w:r>
      <w:r>
        <w:rPr>
          <w:rFonts w:hint="eastAsia"/>
          <w:color w:val="000000" w:themeColor="text1"/>
          <w:highlight w:val="none"/>
          <w:lang w:eastAsia="zh-Hans" w:bidi="ar"/>
          <w14:textFill>
            <w14:solidFill>
              <w14:schemeClr w14:val="tx1"/>
            </w14:solidFill>
          </w14:textFill>
        </w:rPr>
        <w:t>为依据进行资金分配，预算资金分配依据充分</w:t>
      </w:r>
      <w:r>
        <w:rPr>
          <w:rFonts w:hint="eastAsia"/>
          <w:color w:val="000000" w:themeColor="text1"/>
          <w:highlight w:val="none"/>
          <w:lang w:bidi="ar"/>
          <w14:textFill>
            <w14:solidFill>
              <w14:schemeClr w14:val="tx1"/>
            </w14:solidFill>
          </w14:textFill>
        </w:rPr>
        <w:t>。根据《</w:t>
      </w:r>
      <w:r>
        <w:rPr>
          <w:rFonts w:hint="eastAsia"/>
          <w:color w:val="000000" w:themeColor="text1"/>
          <w:highlight w:val="none"/>
          <w:lang w:val="en-US" w:eastAsia="zh-CN" w:bidi="ar"/>
          <w14:textFill>
            <w14:solidFill>
              <w14:schemeClr w14:val="tx1"/>
            </w14:solidFill>
          </w14:textFill>
        </w:rPr>
        <w:t>关于提前下达2022年部分中央财政城镇保障性安居工程补助资金预算的通知</w:t>
      </w:r>
      <w:r>
        <w:rPr>
          <w:rFonts w:hint="eastAsia"/>
          <w:color w:val="000000" w:themeColor="text1"/>
          <w:highlight w:val="none"/>
          <w:lang w:bidi="ar"/>
          <w14:textFill>
            <w14:solidFill>
              <w14:schemeClr w14:val="tx1"/>
            </w14:solidFill>
          </w14:textFill>
        </w:rPr>
        <w:t>》</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关于下达2022年中央财政城镇保障性安居工程补助资金预算的通知</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等</w:t>
      </w:r>
      <w:r>
        <w:rPr>
          <w:rFonts w:hint="eastAsia"/>
          <w:color w:val="000000" w:themeColor="text1"/>
          <w:highlight w:val="none"/>
          <w:lang w:bidi="ar"/>
          <w14:textFill>
            <w14:solidFill>
              <w14:schemeClr w14:val="tx1"/>
            </w14:solidFill>
          </w14:textFill>
        </w:rPr>
        <w:t>文件显示，本项目实际到位资金</w:t>
      </w:r>
      <w:r>
        <w:rPr>
          <w:rFonts w:hint="eastAsia"/>
          <w:color w:val="000000" w:themeColor="text1"/>
          <w:highlight w:val="none"/>
          <w:lang w:val="en-US" w:eastAsia="zh-CN" w:bidi="ar"/>
          <w14:textFill>
            <w14:solidFill>
              <w14:schemeClr w14:val="tx1"/>
            </w14:solidFill>
          </w14:textFill>
        </w:rPr>
        <w:t>849</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4"/>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w:t>
      </w:r>
      <w:r>
        <w:rPr>
          <w:rFonts w:hint="eastAsia"/>
          <w:color w:val="000000" w:themeColor="text1"/>
          <w:highlight w:val="none"/>
          <w:lang w:val="en-US" w:eastAsia="zh-CN"/>
          <w14:textFill>
            <w14:solidFill>
              <w14:schemeClr w14:val="tx1"/>
            </w14:solidFill>
          </w14:textFill>
        </w:rPr>
        <w:t>849</w:t>
      </w:r>
      <w:r>
        <w:rPr>
          <w:rFonts w:hint="eastAsia"/>
          <w:color w:val="000000" w:themeColor="text1"/>
          <w:highlight w:val="none"/>
          <w14:textFill>
            <w14:solidFill>
              <w14:schemeClr w14:val="tx1"/>
            </w14:solidFill>
          </w14:textFill>
        </w:rPr>
        <w:t>万元，其中：</w:t>
      </w:r>
      <w:r>
        <w:rPr>
          <w:rFonts w:hint="eastAsia"/>
          <w:color w:val="000000" w:themeColor="text1"/>
          <w:highlight w:val="none"/>
          <w:lang w:val="en-US" w:eastAsia="zh-CN"/>
          <w14:textFill>
            <w14:solidFill>
              <w14:schemeClr w14:val="tx1"/>
            </w14:solidFill>
          </w14:textFill>
        </w:rPr>
        <w:t>中央补助资金715万元，自治区补助资金134万元。</w:t>
      </w:r>
      <w:r>
        <w:rPr>
          <w:rFonts w:hint="eastAsia"/>
          <w:color w:val="000000" w:themeColor="text1"/>
          <w:highlight w:val="none"/>
          <w14:textFill>
            <w14:solidFill>
              <w14:schemeClr w14:val="tx1"/>
            </w14:solidFill>
          </w14:textFill>
        </w:rPr>
        <w:t>，实际到位资金</w:t>
      </w:r>
      <w:r>
        <w:rPr>
          <w:rFonts w:hint="eastAsia"/>
          <w:color w:val="000000" w:themeColor="text1"/>
          <w:highlight w:val="none"/>
          <w:lang w:val="en-US" w:eastAsia="zh-CN"/>
          <w14:textFill>
            <w14:solidFill>
              <w14:schemeClr w14:val="tx1"/>
            </w14:solidFill>
          </w14:textFill>
        </w:rPr>
        <w:t>849</w:t>
      </w:r>
      <w:r>
        <w:rPr>
          <w:rFonts w:hint="eastAsia"/>
          <w:color w:val="000000" w:themeColor="text1"/>
          <w:highlight w:val="none"/>
          <w14:textFill>
            <w14:solidFill>
              <w14:schemeClr w14:val="tx1"/>
            </w14:solidFill>
          </w14:textFill>
        </w:rPr>
        <w:t>万元，资金到位率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w:t>
      </w:r>
      <w:r>
        <w:rPr>
          <w:rFonts w:hint="eastAsia"/>
          <w:color w:val="000000" w:themeColor="text1"/>
          <w:highlight w:val="none"/>
          <w:lang w:val="en-US" w:eastAsia="zh-CN"/>
          <w14:textFill>
            <w14:solidFill>
              <w14:schemeClr w14:val="tx1"/>
            </w14:solidFill>
          </w14:textFill>
        </w:rPr>
        <w:t>849</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洛浦县住建局</w:t>
      </w:r>
      <w:r>
        <w:rPr>
          <w:color w:val="000000" w:themeColor="text1"/>
          <w:highlight w:val="none"/>
          <w14:textFill>
            <w14:solidFill>
              <w14:schemeClr w14:val="tx1"/>
            </w14:solidFill>
          </w14:textFill>
        </w:rPr>
        <w:t>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2022年中央财政城镇保障性安居工程专项资金（棚户区改造）专项资金管理办法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资金管理办法》、《</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收支业务管理制度》、《</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政府采购业务管理制度》、《</w:t>
      </w:r>
      <w:r>
        <w:rPr>
          <w:rFonts w:hint="eastAsia"/>
          <w:color w:val="000000" w:themeColor="text1"/>
          <w:highlight w:val="none"/>
          <w:lang w:val="en-US" w:eastAsia="zh-CN"/>
          <w14:textFill>
            <w14:solidFill>
              <w14:schemeClr w14:val="tx1"/>
            </w14:solidFill>
          </w14:textFill>
        </w:rPr>
        <w:t>洛浦县住建局</w:t>
      </w:r>
      <w:r>
        <w:rPr>
          <w:rFonts w:hint="eastAsia"/>
          <w:color w:val="000000" w:themeColor="text1"/>
          <w:highlight w:val="none"/>
          <w14:textFill>
            <w14:solidFill>
              <w14:schemeClr w14:val="tx1"/>
            </w14:solidFill>
          </w14:textFill>
        </w:rPr>
        <w:t>合同管理制度》，上述已建立的制度均符合行政事业单位内控管理要求，财务和业务管理制度合法、合规、完整，本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，项目启动实施后，为了加快本项目的实施，成立了2022年中央财政城镇保障性安居工程专项资金（棚户区改造）项目工作领导小组，由党组书记</w:t>
      </w:r>
      <w:r>
        <w:rPr>
          <w:rFonts w:hint="eastAsia"/>
          <w:color w:val="000000" w:themeColor="text1"/>
          <w:highlight w:val="none"/>
          <w:lang w:val="en-US" w:eastAsia="zh-CN"/>
          <w14:textFill>
            <w14:solidFill>
              <w14:schemeClr w14:val="tx1"/>
            </w14:solidFill>
          </w14:textFill>
        </w:rPr>
        <w:t>何晓强</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val="en-US" w:eastAsia="zh-CN"/>
          <w14:textFill>
            <w14:solidFill>
              <w14:schemeClr w14:val="tx1"/>
            </w14:solidFill>
          </w14:textFill>
        </w:rPr>
        <w:t>付德祥</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val="en-US" w:eastAsia="zh-CN"/>
          <w14:textFill>
            <w14:solidFill>
              <w14:schemeClr w14:val="tx1"/>
            </w14:solidFill>
          </w14:textFill>
        </w:rPr>
        <w:t>徐元芬</w:t>
      </w:r>
      <w:r>
        <w:rPr>
          <w:rFonts w:hint="eastAsia"/>
          <w:color w:val="000000" w:themeColor="text1"/>
          <w:highlight w:val="none"/>
          <w14:textFill>
            <w14:solidFill>
              <w14:schemeClr w14:val="tx1"/>
            </w14:solidFill>
          </w14:textFill>
        </w:rPr>
        <w:t>和</w:t>
      </w:r>
      <w:r>
        <w:rPr>
          <w:rFonts w:hint="eastAsia"/>
          <w:color w:val="000000" w:themeColor="text1"/>
          <w:highlight w:val="none"/>
          <w:lang w:val="en-US" w:eastAsia="zh-CN"/>
          <w14:textFill>
            <w14:solidFill>
              <w14:schemeClr w14:val="tx1"/>
            </w14:solidFill>
          </w14:textFill>
        </w:rPr>
        <w:t>冯伟</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4"/>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9</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20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棚户区改造户数</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预期指标值为≥620户</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实际完成值为620户,指标完成率为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eastAsia="仿宋_GB2312"/>
          <w:color w:val="000000" w:themeColor="text1"/>
          <w:highlight w:val="none"/>
          <w:lang w:val="en-US" w:eastAsia="zh-CN"/>
          <w14:textFill>
            <w14:solidFill>
              <w14:schemeClr w14:val="tx1"/>
            </w14:solidFill>
          </w14:textFill>
        </w:rPr>
      </w:pP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棚户区改造片区</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预期指标值为≥2个</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2个</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工程验收合格率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资金使用合规率，预期指标值为=100%</w:t>
      </w:r>
      <w:r>
        <w:rPr>
          <w:rFonts w:hint="eastAsia" w:cs="Times New Roman"/>
          <w:b w:val="0"/>
          <w:bCs w:val="0"/>
          <w:color w:val="000000" w:themeColor="text1"/>
          <w:kern w:val="2"/>
          <w:sz w:val="28"/>
          <w:szCs w:val="24"/>
          <w:highlight w:val="none"/>
          <w:lang w:val="en-US" w:eastAsia="zh-CN" w:bidi="ar-SA"/>
          <w14:textFill>
            <w14:solidFill>
              <w14:schemeClr w14:val="tx1"/>
            </w14:solidFill>
          </w14:textFill>
        </w:rPr>
        <w:t>，</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项目完工时间</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2022年12月</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资金支付及时率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4.成本指标完成情况分析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砖混结构房屋补偿标准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=1380元/平方米，</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1380元/平方米</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eastAsia="仿宋_GB2312"/>
          <w:color w:val="000000" w:themeColor="text1"/>
          <w:highlight w:val="none"/>
          <w:lang w:eastAsia="zh-CN"/>
          <w14:textFill>
            <w14:solidFill>
              <w14:schemeClr w14:val="tx1"/>
            </w14:solidFill>
          </w14:textFill>
        </w:rPr>
        <w:t>砖木结构房屋补偿标准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=1150元/平方米，</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1150元/平方米</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笆子墙结构房屋补偿标准，预期指标值为=720元/平方米，</w:t>
      </w:r>
      <w:r>
        <w:rPr>
          <w:rFonts w:hint="eastAsia"/>
          <w:color w:val="000000" w:themeColor="text1"/>
          <w:highlight w:val="none"/>
          <w14:textFill>
            <w14:solidFill>
              <w14:schemeClr w14:val="tx1"/>
            </w14:solidFill>
          </w14:textFill>
        </w:rPr>
        <w:t>实际完成值为</w:t>
      </w:r>
      <w:r>
        <w:rPr>
          <w:rFonts w:hint="eastAsia"/>
          <w:color w:val="000000" w:themeColor="text1"/>
          <w:highlight w:val="none"/>
          <w:lang w:val="en-US" w:eastAsia="zh-CN"/>
          <w14:textFill>
            <w14:solidFill>
              <w14:schemeClr w14:val="tx1"/>
            </w14:solidFill>
          </w14:textFill>
        </w:rPr>
        <w:t>720元/平方米</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4"/>
        <w:ind w:left="0" w:leftChars="0" w:firstLine="643"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（四）项目效益情况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40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1.经济效益完成情况分析</w:t>
      </w:r>
    </w:p>
    <w:p>
      <w:pPr>
        <w:pStyle w:val="2"/>
        <w:ind w:firstLine="562"/>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2.社会效益完成情况分析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推动民生发展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有效推动，</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有效推动</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3.生态效益完成情况分析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无</w:t>
      </w:r>
    </w:p>
    <w:p>
      <w:pPr>
        <w:pStyle w:val="2"/>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4.可持续影响完成情况分析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增强人民群众的幸福感</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持续增强，</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持续增强</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ind w:left="0" w:leftChars="0" w:firstLine="56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5.满意度指标完成情况分析</w:t>
      </w:r>
    </w:p>
    <w:p>
      <w:pPr>
        <w:ind w:firstLine="560"/>
        <w:rPr>
          <w:rFonts w:hint="eastAsia"/>
          <w:color w:val="000000" w:themeColor="text1"/>
          <w:highlight w:val="none"/>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受益棚户区改造居民满意度，</w:t>
      </w:r>
      <w:r>
        <w:rPr>
          <w:rFonts w:hint="eastAsia"/>
          <w:color w:val="000000" w:themeColor="text1"/>
          <w:highlight w:val="none"/>
          <w14:textFill>
            <w14:solidFill>
              <w14:schemeClr w14:val="tx1"/>
            </w14:solidFill>
          </w14:textFill>
        </w:rPr>
        <w:t>预期指标值为</w:t>
      </w:r>
      <w:r>
        <w:rPr>
          <w:rFonts w:hint="eastAsia"/>
          <w:color w:val="000000" w:themeColor="text1"/>
          <w:highlight w:val="none"/>
          <w:lang w:val="en-US" w:eastAsia="zh-CN"/>
          <w14:textFill>
            <w14:solidFill>
              <w14:schemeClr w14:val="tx1"/>
            </w14:solidFill>
          </w14:textFill>
        </w:rPr>
        <w:t>≥95%，</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3"/>
        <w:ind w:left="0" w:leftChars="0" w:firstLine="643" w:firstLineChars="200"/>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0万元，全年预算数为849万元，全年执行数为849万元，预算执行率为100%。</w:t>
      </w:r>
    </w:p>
    <w:p>
      <w:pPr>
        <w:pStyle w:val="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23个，扣分指标数量0个，经分析计算所有三级指标完成率得出，本项目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p>
    <w:p>
      <w:pPr>
        <w:pStyle w:val="6"/>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综上所述本项目预算执行率与总体完成率之间的偏差为0%。</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4"/>
        <w:numPr>
          <w:ilvl w:val="0"/>
          <w:numId w:val="4"/>
        </w:numPr>
        <w:ind w:firstLine="643"/>
        <w:rPr>
          <w:color w:val="000000" w:themeColor="text1"/>
          <w:highlight w:val="none"/>
          <w14:textFill>
            <w14:solidFill>
              <w14:schemeClr w14:val="tx1"/>
            </w14:solidFill>
          </w14:textFill>
        </w:rPr>
      </w:pPr>
      <w:bookmarkStart w:id="12" w:name="_Toc1921"/>
      <w:bookmarkStart w:id="13" w:name="_Toc28290"/>
      <w:r>
        <w:rPr>
          <w:rFonts w:hint="eastAsia"/>
          <w:color w:val="000000" w:themeColor="text1"/>
          <w:highlight w:val="none"/>
          <w14:textFill>
            <w14:solidFill>
              <w14:schemeClr w14:val="tx1"/>
            </w14:solidFill>
          </w14:textFill>
        </w:rPr>
        <w:t>主要经验及做法</w:t>
      </w:r>
    </w:p>
    <w:bookmarkEnd w:id="12"/>
    <w:bookmarkEnd w:id="13"/>
    <w:p>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color w:val="000000" w:themeColor="text1"/>
          <w:highlight w:val="none"/>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1、加强领导，落实责任，成立了以由</w:t>
      </w:r>
      <w:r>
        <w:rPr>
          <w:rFonts w:hint="eastAsia"/>
          <w:color w:val="000000" w:themeColor="text1"/>
          <w:highlight w:val="none"/>
          <w14:textFill>
            <w14:solidFill>
              <w14:schemeClr w14:val="tx1"/>
            </w14:solidFill>
          </w14:textFill>
        </w:rPr>
        <w:t>党组书记</w:t>
      </w:r>
      <w:r>
        <w:rPr>
          <w:rFonts w:hint="eastAsia"/>
          <w:color w:val="000000" w:themeColor="text1"/>
          <w:highlight w:val="none"/>
          <w:lang w:val="en-US" w:eastAsia="zh-CN"/>
          <w14:textFill>
            <w14:solidFill>
              <w14:schemeClr w14:val="tx1"/>
            </w14:solidFill>
          </w14:textFill>
        </w:rPr>
        <w:t>何晓强</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val="en-US" w:eastAsia="zh-CN"/>
          <w14:textFill>
            <w14:solidFill>
              <w14:schemeClr w14:val="tx1"/>
            </w14:solidFill>
          </w14:textFill>
        </w:rPr>
        <w:t>付德祥</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val="en-US" w:eastAsia="zh-CN"/>
          <w14:textFill>
            <w14:solidFill>
              <w14:schemeClr w14:val="tx1"/>
            </w14:solidFill>
          </w14:textFill>
        </w:rPr>
        <w:t>徐元芬</w:t>
      </w:r>
      <w:r>
        <w:rPr>
          <w:rFonts w:hint="eastAsia"/>
          <w:color w:val="000000" w:themeColor="text1"/>
          <w:highlight w:val="none"/>
          <w14:textFill>
            <w14:solidFill>
              <w14:schemeClr w14:val="tx1"/>
            </w14:solidFill>
          </w14:textFill>
        </w:rPr>
        <w:t>和</w:t>
      </w:r>
      <w:r>
        <w:rPr>
          <w:rFonts w:hint="eastAsia"/>
          <w:color w:val="000000" w:themeColor="text1"/>
          <w:highlight w:val="none"/>
          <w:lang w:val="en-US" w:eastAsia="zh-CN"/>
          <w14:textFill>
            <w14:solidFill>
              <w14:schemeClr w14:val="tx1"/>
            </w14:solidFill>
          </w14:textFill>
        </w:rPr>
        <w:t>冯伟</w:t>
      </w:r>
      <w:r>
        <w:rPr>
          <w:rFonts w:hint="eastAsia"/>
          <w:color w:val="000000" w:themeColor="text1"/>
          <w:highlight w:val="none"/>
          <w14:textFill>
            <w14:solidFill>
              <w14:schemeClr w14:val="tx1"/>
            </w14:solidFill>
          </w14:textFill>
        </w:rPr>
        <w:t>，主要负责项目监督管理、验收以及资金核拨等工作。</w:t>
      </w:r>
    </w:p>
    <w:p>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2、强化监管，确保质量，为确保工程质量监管到位，聘请专业监理公司负责整个工程的监督管理，单位选派工作责任心强、熟悉工程业务人员为负责人，负责施工监督，做好隐蔽工程监管工作。</w:t>
      </w:r>
    </w:p>
    <w:p>
      <w:pPr>
        <w:pStyle w:val="10"/>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3、严格程序，确保资金效益。项目建设坚持层层审批原则，做到操作程序规范，严格按照上级审批项目建设规模、工程项目管理办法，工程进度款拨付管理等相关要求开展工作，并严硌按照资金使用的相关管理要淾执行，严格资金使用范围，保证项目专款专用。</w:t>
      </w:r>
    </w:p>
    <w:p>
      <w:pPr>
        <w:pStyle w:val="4"/>
        <w:numPr>
          <w:ilvl w:val="0"/>
          <w:numId w:val="4"/>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pStyle w:val="3"/>
        <w:ind w:firstLine="643"/>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bCs w:val="0"/>
          <w:color w:val="000000" w:themeColor="text1"/>
          <w:kern w:val="2"/>
          <w:sz w:val="28"/>
          <w:szCs w:val="24"/>
          <w:highlight w:val="none"/>
          <w:lang w:val="en-US" w:eastAsia="zh-CN" w:bidi="ar-SA"/>
          <w14:textFill>
            <w14:solidFill>
              <w14:schemeClr w14:val="tx1"/>
            </w14:solidFill>
          </w14:textFill>
        </w:rPr>
        <w:t>预算绩效管理的组织实施统筹不够。预算绩效管理工作附着在预算管理的各个环节，是一项系统性强、耗时较多的工作，倘若没有足够的人力、物力支撑，难以有效完成，目前组织实施存在普遍性问题：一是缺乏统筹协调，主体责任难落实。财务部门和业务部门扮演的角色不清晰，未形成管理合力。常常因为业务归口，财务部门一家负责绩效管理工作，情境十分窘迫，既要防止被扣减预算，还要尽量避免被提出审计问题。二是专业人员有限，工作开展不深入。绝大多数预算单位没有专门设立预算绩效管理机构、无相应编制，而且内部挖潜不足、再分工力度不够，导致绩效管理人手非常吃紧。基层的情况更为严峻，有的财务人员身兼预算、决算、资产、政府采购、审计，甚至是文秘、人事等数职，疲于应付各类监督，根本没有足够精力开展绩效自评。不统筹解决好组织实施问题，绩效评价工作难以真正下沉到资金使用终端。</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在今后制定项目预算工作中，我单位应提高对资源、耗材、产品市场行情的调研能力，将投资概算进一步精确化，从而提高</w:t>
      </w:r>
      <w:r>
        <w:rPr>
          <w:rFonts w:hint="eastAsia"/>
          <w:color w:val="000000" w:themeColor="text1"/>
          <w:highlight w:val="none"/>
          <w:lang w:val="en-US" w:eastAsia="zh-CN"/>
          <w14:textFill>
            <w14:solidFill>
              <w14:schemeClr w14:val="tx1"/>
            </w14:solidFill>
          </w14:textFill>
        </w:rPr>
        <w:t>建设项目</w:t>
      </w:r>
      <w:r>
        <w:rPr>
          <w:rFonts w:hint="eastAsia"/>
          <w:color w:val="000000" w:themeColor="text1"/>
          <w:highlight w:val="none"/>
          <w14:textFill>
            <w14:solidFill>
              <w14:schemeClr w14:val="tx1"/>
            </w14:solidFill>
          </w14:textFill>
        </w:rPr>
        <w:t>预算资金执行率。</w:t>
      </w:r>
    </w:p>
    <w:p>
      <w:pPr>
        <w:ind w:firstLine="640"/>
        <w:rPr>
          <w:rFonts w:hint="eastAsia"/>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2.我单位</w:t>
      </w:r>
      <w:r>
        <w:rPr>
          <w:rFonts w:hint="eastAsia"/>
          <w:b w:val="0"/>
          <w:bCs w:val="0"/>
          <w:color w:val="000000" w:themeColor="text1"/>
          <w:highlight w:val="none"/>
          <w14:textFill>
            <w14:solidFill>
              <w14:schemeClr w14:val="tx1"/>
            </w14:solidFill>
          </w14:textFill>
        </w:rPr>
        <w:t>今后制定项目预算工作中</w:t>
      </w:r>
      <w:r>
        <w:rPr>
          <w:rFonts w:hint="eastAsia"/>
          <w:b w:val="0"/>
          <w:bCs w:val="0"/>
          <w:color w:val="000000" w:themeColor="text1"/>
          <w:highlight w:val="none"/>
          <w:lang w:eastAsia="zh-CN"/>
          <w14:textFill>
            <w14:solidFill>
              <w14:schemeClr w14:val="tx1"/>
            </w14:solidFill>
          </w14:textFill>
        </w:rPr>
        <w:t>，</w:t>
      </w:r>
      <w:r>
        <w:rPr>
          <w:rFonts w:hint="eastAsia"/>
          <w:b w:val="0"/>
          <w:bCs w:val="0"/>
          <w:color w:val="000000" w:themeColor="text1"/>
          <w:highlight w:val="none"/>
          <w:lang w:val="en-US" w:eastAsia="zh-CN"/>
          <w14:textFill>
            <w14:solidFill>
              <w14:schemeClr w14:val="tx1"/>
            </w14:solidFill>
          </w14:textFill>
        </w:rPr>
        <w:t>加强预算管理，提高预算精准率。</w:t>
      </w:r>
    </w:p>
    <w:p>
      <w:pP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3.加强项目后期管护，保障受益户按期收到效益。</w:t>
      </w:r>
    </w:p>
    <w:p>
      <w:pPr>
        <w:pStyle w:val="3"/>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（一）本项目部分间接产生的效果无法准确在短期内衡量，因此很难认定项目产生的全部效果。通过指标来反映绩效，指标的科学性和全面性需要不断地完善和研究。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（二）评价结果作为安排政府预算、完善政策和改进管理的重要依据。原则上，对评价等级为优、良的，根据情况予以支持；对评价等级为中、差的，要完善政策、改进管理，根据情况核减预算。</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（三）评价结果分别编入政府决算和部门预算，报送本级人民代表大会常务委员会，并依法予以公开。</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481C7A"/>
    <w:rsid w:val="017E682C"/>
    <w:rsid w:val="01852063"/>
    <w:rsid w:val="01E925F2"/>
    <w:rsid w:val="025A529E"/>
    <w:rsid w:val="02AB78A7"/>
    <w:rsid w:val="039D2DB9"/>
    <w:rsid w:val="04FF572D"/>
    <w:rsid w:val="066F70AA"/>
    <w:rsid w:val="07195068"/>
    <w:rsid w:val="073A569E"/>
    <w:rsid w:val="073F0F06"/>
    <w:rsid w:val="08984AC7"/>
    <w:rsid w:val="08CB2A51"/>
    <w:rsid w:val="094869BF"/>
    <w:rsid w:val="099D6902"/>
    <w:rsid w:val="0A401CF1"/>
    <w:rsid w:val="0AD64679"/>
    <w:rsid w:val="0B5A3A72"/>
    <w:rsid w:val="0C472D0F"/>
    <w:rsid w:val="0CA279CF"/>
    <w:rsid w:val="0D537DC9"/>
    <w:rsid w:val="0D885E3E"/>
    <w:rsid w:val="0E760F4E"/>
    <w:rsid w:val="0F156725"/>
    <w:rsid w:val="0F8F0A94"/>
    <w:rsid w:val="0F9F0794"/>
    <w:rsid w:val="1103023A"/>
    <w:rsid w:val="118C0775"/>
    <w:rsid w:val="11B761D9"/>
    <w:rsid w:val="120B3D4E"/>
    <w:rsid w:val="128D0D77"/>
    <w:rsid w:val="12F1313F"/>
    <w:rsid w:val="13053004"/>
    <w:rsid w:val="131F7C27"/>
    <w:rsid w:val="134F49ED"/>
    <w:rsid w:val="159757C2"/>
    <w:rsid w:val="1609105D"/>
    <w:rsid w:val="167A5AB7"/>
    <w:rsid w:val="176C668F"/>
    <w:rsid w:val="17AF7810"/>
    <w:rsid w:val="17C85B09"/>
    <w:rsid w:val="182A4CFD"/>
    <w:rsid w:val="19344B8F"/>
    <w:rsid w:val="1A041D47"/>
    <w:rsid w:val="1B0D2EA9"/>
    <w:rsid w:val="1BEA0FE8"/>
    <w:rsid w:val="1C4A596B"/>
    <w:rsid w:val="20A32962"/>
    <w:rsid w:val="20B21A37"/>
    <w:rsid w:val="21A41209"/>
    <w:rsid w:val="22A9674F"/>
    <w:rsid w:val="22DA1DB7"/>
    <w:rsid w:val="231235EB"/>
    <w:rsid w:val="2360728C"/>
    <w:rsid w:val="23685C7C"/>
    <w:rsid w:val="23A57F8C"/>
    <w:rsid w:val="23C93BD9"/>
    <w:rsid w:val="245E1E24"/>
    <w:rsid w:val="256845EA"/>
    <w:rsid w:val="26350999"/>
    <w:rsid w:val="26EF3957"/>
    <w:rsid w:val="27283097"/>
    <w:rsid w:val="278F52DC"/>
    <w:rsid w:val="2A053F0F"/>
    <w:rsid w:val="2A0C569A"/>
    <w:rsid w:val="2A5C3075"/>
    <w:rsid w:val="2ABE1FBE"/>
    <w:rsid w:val="2AD6555A"/>
    <w:rsid w:val="2B1F5779"/>
    <w:rsid w:val="2BE8158B"/>
    <w:rsid w:val="2C103347"/>
    <w:rsid w:val="2C823623"/>
    <w:rsid w:val="2D18563E"/>
    <w:rsid w:val="2D510EC7"/>
    <w:rsid w:val="2DFA2E97"/>
    <w:rsid w:val="2E2B796A"/>
    <w:rsid w:val="2E483E7E"/>
    <w:rsid w:val="2FBD0A96"/>
    <w:rsid w:val="2FCE2953"/>
    <w:rsid w:val="2FDE37A9"/>
    <w:rsid w:val="2FF6396C"/>
    <w:rsid w:val="315B7BD0"/>
    <w:rsid w:val="332F7DDD"/>
    <w:rsid w:val="33944516"/>
    <w:rsid w:val="33EA5BD2"/>
    <w:rsid w:val="33FE342B"/>
    <w:rsid w:val="3522787D"/>
    <w:rsid w:val="36185B49"/>
    <w:rsid w:val="3747231F"/>
    <w:rsid w:val="38291F6A"/>
    <w:rsid w:val="38CC7587"/>
    <w:rsid w:val="396C7089"/>
    <w:rsid w:val="39D67A87"/>
    <w:rsid w:val="3B255741"/>
    <w:rsid w:val="3BB84807"/>
    <w:rsid w:val="3C494A2A"/>
    <w:rsid w:val="3D817DB9"/>
    <w:rsid w:val="3E18158D"/>
    <w:rsid w:val="3E81549E"/>
    <w:rsid w:val="3ED454B4"/>
    <w:rsid w:val="402112BD"/>
    <w:rsid w:val="40BC3F95"/>
    <w:rsid w:val="413E2617"/>
    <w:rsid w:val="41DB2AD0"/>
    <w:rsid w:val="422C3859"/>
    <w:rsid w:val="43BE6733"/>
    <w:rsid w:val="43EA2D93"/>
    <w:rsid w:val="43EE7018"/>
    <w:rsid w:val="4450382F"/>
    <w:rsid w:val="446A2417"/>
    <w:rsid w:val="453453BA"/>
    <w:rsid w:val="45462E84"/>
    <w:rsid w:val="45A100BA"/>
    <w:rsid w:val="45D109A0"/>
    <w:rsid w:val="470923BB"/>
    <w:rsid w:val="476F03A3"/>
    <w:rsid w:val="478101A3"/>
    <w:rsid w:val="48550F4C"/>
    <w:rsid w:val="485D476D"/>
    <w:rsid w:val="494F4748"/>
    <w:rsid w:val="49CD5922"/>
    <w:rsid w:val="49DF11B1"/>
    <w:rsid w:val="4A94466D"/>
    <w:rsid w:val="4A996944"/>
    <w:rsid w:val="4B545786"/>
    <w:rsid w:val="4C3216AC"/>
    <w:rsid w:val="4DC4703C"/>
    <w:rsid w:val="4E4A6D47"/>
    <w:rsid w:val="4EC15329"/>
    <w:rsid w:val="4ED67027"/>
    <w:rsid w:val="4F733A2D"/>
    <w:rsid w:val="4F7D56F4"/>
    <w:rsid w:val="4F964606"/>
    <w:rsid w:val="4FB67747"/>
    <w:rsid w:val="4FD56C07"/>
    <w:rsid w:val="4FFE6916"/>
    <w:rsid w:val="506B1A13"/>
    <w:rsid w:val="511FF2A1"/>
    <w:rsid w:val="5244074B"/>
    <w:rsid w:val="52A262D4"/>
    <w:rsid w:val="54880DC3"/>
    <w:rsid w:val="54D20290"/>
    <w:rsid w:val="54D569C1"/>
    <w:rsid w:val="5594498E"/>
    <w:rsid w:val="55A5494A"/>
    <w:rsid w:val="55D85ECB"/>
    <w:rsid w:val="55F96601"/>
    <w:rsid w:val="56803BC3"/>
    <w:rsid w:val="56FD7960"/>
    <w:rsid w:val="581B1F4E"/>
    <w:rsid w:val="59C02DAD"/>
    <w:rsid w:val="5A0C7DA1"/>
    <w:rsid w:val="5B1433B1"/>
    <w:rsid w:val="5C4A6705"/>
    <w:rsid w:val="5C853E3A"/>
    <w:rsid w:val="5CB14C2F"/>
    <w:rsid w:val="5E0A0A9B"/>
    <w:rsid w:val="5F1F40D2"/>
    <w:rsid w:val="5F6441DB"/>
    <w:rsid w:val="5F9C5101"/>
    <w:rsid w:val="60993C46"/>
    <w:rsid w:val="618129F7"/>
    <w:rsid w:val="626F3307"/>
    <w:rsid w:val="62EE2619"/>
    <w:rsid w:val="63893E89"/>
    <w:rsid w:val="653A5570"/>
    <w:rsid w:val="6584156C"/>
    <w:rsid w:val="65A417D5"/>
    <w:rsid w:val="66F91E37"/>
    <w:rsid w:val="672B5465"/>
    <w:rsid w:val="680A1B61"/>
    <w:rsid w:val="68291A1A"/>
    <w:rsid w:val="68F465CF"/>
    <w:rsid w:val="691B1594"/>
    <w:rsid w:val="6A4A04C4"/>
    <w:rsid w:val="6A841BD5"/>
    <w:rsid w:val="6B7D2FAE"/>
    <w:rsid w:val="6CBF6EF4"/>
    <w:rsid w:val="6D00644E"/>
    <w:rsid w:val="6ECC76A7"/>
    <w:rsid w:val="6F0D6C22"/>
    <w:rsid w:val="6FD57E76"/>
    <w:rsid w:val="6FF06988"/>
    <w:rsid w:val="706C2EEF"/>
    <w:rsid w:val="70FA674D"/>
    <w:rsid w:val="71801FA8"/>
    <w:rsid w:val="719B4C88"/>
    <w:rsid w:val="722F68CA"/>
    <w:rsid w:val="74370315"/>
    <w:rsid w:val="745F5557"/>
    <w:rsid w:val="74B60DFD"/>
    <w:rsid w:val="7657019E"/>
    <w:rsid w:val="76D2301A"/>
    <w:rsid w:val="770245AD"/>
    <w:rsid w:val="770C0F88"/>
    <w:rsid w:val="773C186D"/>
    <w:rsid w:val="774329A8"/>
    <w:rsid w:val="77861774"/>
    <w:rsid w:val="77E04DFB"/>
    <w:rsid w:val="78AA0A59"/>
    <w:rsid w:val="79300B45"/>
    <w:rsid w:val="79A17504"/>
    <w:rsid w:val="79FF3433"/>
    <w:rsid w:val="7AB73395"/>
    <w:rsid w:val="7AE2272C"/>
    <w:rsid w:val="7B686778"/>
    <w:rsid w:val="7BCE4A5E"/>
    <w:rsid w:val="7C110767"/>
    <w:rsid w:val="7C217284"/>
    <w:rsid w:val="7D4849E5"/>
    <w:rsid w:val="7E617414"/>
    <w:rsid w:val="7F7C7D95"/>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List"/>
    <w:basedOn w:val="1"/>
    <w:qFormat/>
    <w:uiPriority w:val="0"/>
    <w:pPr>
      <w:ind w:left="200" w:hanging="200" w:hangingChars="200"/>
      <w:contextualSpacing/>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10476</Words>
  <Characters>10983</Characters>
  <Lines>71</Lines>
  <Paragraphs>20</Paragraphs>
  <TotalTime>29</TotalTime>
  <ScaleCrop>false</ScaleCrop>
  <LinksUpToDate>false</LinksUpToDate>
  <CharactersWithSpaces>10986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2024-08-13T08:54:48Z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