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pPr>
    </w:p>
    <w:p>
      <w:pPr>
        <w:ind w:firstLine="560"/>
      </w:pPr>
    </w:p>
    <w:p>
      <w:pPr>
        <w:ind w:firstLine="560"/>
      </w:pPr>
    </w:p>
    <w:p>
      <w:pPr>
        <w:ind w:firstLine="560"/>
      </w:pPr>
    </w:p>
    <w:p>
      <w:pPr>
        <w:ind w:firstLine="0" w:firstLineChars="0"/>
        <w:jc w:val="center"/>
        <w:rPr>
          <w:rFonts w:ascii="仿宋" w:hAnsi="仿宋"/>
          <w:sz w:val="52"/>
          <w:szCs w:val="52"/>
        </w:rPr>
      </w:pPr>
      <w:bookmarkStart w:id="0" w:name="_Hlk163469615"/>
      <w:bookmarkStart w:id="1" w:name="_Hlk163416691"/>
      <w:r>
        <w:rPr>
          <w:rFonts w:hint="eastAsia" w:ascii="仿宋" w:hAnsi="仿宋"/>
          <w:sz w:val="52"/>
          <w:szCs w:val="52"/>
        </w:rPr>
        <w:t>洛浦</w:t>
      </w:r>
      <w:r>
        <w:rPr>
          <w:rFonts w:ascii="仿宋" w:hAnsi="仿宋"/>
          <w:sz w:val="52"/>
          <w:szCs w:val="52"/>
        </w:rPr>
        <w:t>县</w:t>
      </w:r>
      <w:r>
        <w:rPr>
          <w:rFonts w:hint="eastAsia" w:ascii="仿宋" w:hAnsi="仿宋"/>
          <w:sz w:val="52"/>
          <w:szCs w:val="52"/>
        </w:rPr>
        <w:t>2024年</w:t>
      </w:r>
      <w:bookmarkEnd w:id="0"/>
      <w:r>
        <w:rPr>
          <w:rFonts w:ascii="仿宋" w:hAnsi="仿宋"/>
          <w:sz w:val="52"/>
          <w:szCs w:val="52"/>
        </w:rPr>
        <w:t>灌溉用水定额评价报告</w:t>
      </w:r>
    </w:p>
    <w:bookmarkEnd w:id="1"/>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overflowPunct w:val="0"/>
        <w:autoSpaceDE w:val="0"/>
        <w:autoSpaceDN w:val="0"/>
        <w:ind w:firstLine="566" w:firstLineChars="177"/>
        <w:jc w:val="both"/>
        <w:rPr>
          <w:rFonts w:cs="Times New Roman"/>
          <w:bCs/>
          <w:sz w:val="32"/>
          <w:szCs w:val="32"/>
          <w14:ligatures w14:val="none"/>
        </w:rPr>
      </w:pPr>
      <w:r>
        <w:rPr>
          <w:rFonts w:hint="eastAsia" w:cs="Times New Roman"/>
          <w:bCs/>
          <w:sz w:val="32"/>
          <w:szCs w:val="32"/>
          <w14:ligatures w14:val="none"/>
        </w:rPr>
        <w:t>建设单位</w:t>
      </w:r>
      <w:r>
        <w:rPr>
          <w:rFonts w:cs="Times New Roman"/>
          <w:bCs/>
          <w:sz w:val="32"/>
          <w:szCs w:val="32"/>
          <w14:ligatures w14:val="none"/>
        </w:rPr>
        <w:t>：</w:t>
      </w:r>
      <w:r>
        <w:rPr>
          <w:rFonts w:hint="eastAsia" w:cs="Times New Roman"/>
          <w:bCs/>
          <w:sz w:val="32"/>
          <w:szCs w:val="32"/>
          <w14:ligatures w14:val="none"/>
        </w:rPr>
        <w:t>洛浦县灌溉用水服务中心</w:t>
      </w:r>
    </w:p>
    <w:p>
      <w:pPr>
        <w:overflowPunct w:val="0"/>
        <w:autoSpaceDE w:val="0"/>
        <w:autoSpaceDN w:val="0"/>
        <w:ind w:firstLine="566" w:firstLineChars="177"/>
        <w:jc w:val="both"/>
        <w:rPr>
          <w:rFonts w:cs="Times New Roman"/>
          <w:bCs/>
          <w:sz w:val="32"/>
          <w:szCs w:val="32"/>
          <w14:ligatures w14:val="none"/>
        </w:rPr>
      </w:pPr>
      <w:r>
        <w:rPr>
          <w:rFonts w:cs="Times New Roman"/>
          <w:bCs/>
          <w:sz w:val="32"/>
          <w:szCs w:val="32"/>
          <w14:ligatures w14:val="none"/>
        </w:rPr>
        <w:t>编制单位：</w:t>
      </w:r>
      <w:r>
        <w:rPr>
          <w:rFonts w:hint="eastAsia" w:cs="Times New Roman"/>
          <w:bCs/>
          <w:sz w:val="32"/>
          <w:szCs w:val="32"/>
          <w14:ligatures w14:val="none"/>
        </w:rPr>
        <w:t>中城恒业设计集团有限公司和田第一分公司</w:t>
      </w:r>
    </w:p>
    <w:p>
      <w:pPr>
        <w:overflowPunct w:val="0"/>
        <w:autoSpaceDE w:val="0"/>
        <w:autoSpaceDN w:val="0"/>
        <w:ind w:firstLine="0" w:firstLineChars="0"/>
        <w:jc w:val="center"/>
        <w:rPr>
          <w:rFonts w:cs="Times New Roman"/>
          <w:bCs/>
          <w:sz w:val="32"/>
          <w:szCs w:val="32"/>
          <w14:ligatures w14:val="none"/>
        </w:rPr>
      </w:pPr>
      <w:r>
        <w:rPr>
          <w:rFonts w:hint="eastAsia" w:cs="Times New Roman"/>
          <w:bCs/>
          <w:sz w:val="32"/>
          <w:szCs w:val="32"/>
          <w14:ligatures w14:val="none"/>
        </w:rPr>
        <w:t>二〇</w:t>
      </w:r>
      <w:r>
        <w:rPr>
          <w:rFonts w:cs="Times New Roman"/>
          <w:bCs/>
          <w:sz w:val="32"/>
          <w:szCs w:val="32"/>
          <w14:ligatures w14:val="none"/>
        </w:rPr>
        <w:t>二</w:t>
      </w:r>
      <w:r>
        <w:rPr>
          <w:rFonts w:hint="eastAsia" w:cs="Times New Roman"/>
          <w:bCs/>
          <w:sz w:val="32"/>
          <w:szCs w:val="32"/>
          <w14:ligatures w14:val="none"/>
        </w:rPr>
        <w:t>四</w:t>
      </w:r>
      <w:r>
        <w:rPr>
          <w:rFonts w:cs="Times New Roman"/>
          <w:bCs/>
          <w:sz w:val="32"/>
          <w:szCs w:val="32"/>
          <w14:ligatures w14:val="none"/>
        </w:rPr>
        <w:t>年</w:t>
      </w:r>
      <w:r>
        <w:rPr>
          <w:rFonts w:hint="eastAsia" w:cs="Times New Roman"/>
          <w:bCs/>
          <w:sz w:val="32"/>
          <w:szCs w:val="32"/>
          <w14:ligatures w14:val="none"/>
        </w:rPr>
        <w:t>四</w:t>
      </w:r>
      <w:r>
        <w:rPr>
          <w:rFonts w:cs="Times New Roman"/>
          <w:bCs/>
          <w:sz w:val="32"/>
          <w:szCs w:val="32"/>
          <w14:ligatures w14:val="none"/>
        </w:rPr>
        <w:t>月</w:t>
      </w:r>
    </w:p>
    <w:p>
      <w:pPr>
        <w:ind w:firstLine="560"/>
      </w:pPr>
    </w:p>
    <w:p>
      <w:pPr>
        <w:ind w:firstLine="560"/>
        <w:sectPr>
          <w:headerReference r:id="rId7" w:type="first"/>
          <w:footerReference r:id="rId10" w:type="first"/>
          <w:headerReference r:id="rId5" w:type="default"/>
          <w:footerReference r:id="rId8" w:type="default"/>
          <w:headerReference r:id="rId6" w:type="even"/>
          <w:footerReference r:id="rId9" w:type="even"/>
          <w:pgSz w:w="11906" w:h="16838"/>
          <w:pgMar w:top="1474" w:right="1474" w:bottom="1474" w:left="1474" w:header="1077" w:footer="907" w:gutter="340"/>
          <w:cols w:space="425" w:num="1"/>
          <w:docGrid w:type="lines" w:linePitch="312" w:charSpace="0"/>
        </w:sectPr>
      </w:pPr>
    </w:p>
    <w:p>
      <w:pPr>
        <w:ind w:firstLine="723"/>
        <w:sectPr>
          <w:pgSz w:w="16838" w:h="11906" w:orient="landscape"/>
          <w:pgMar w:top="1474" w:right="1474" w:bottom="1474" w:left="1474" w:header="1077" w:footer="907" w:gutter="340"/>
          <w:cols w:space="425" w:num="1"/>
          <w:docGrid w:type="lines" w:linePitch="381" w:charSpace="0"/>
        </w:sectPr>
      </w:pPr>
      <w:r>
        <w:rPr>
          <w:rFonts w:hint="eastAsia" w:ascii="宋体" w:hAnsi="宋体" w:cs="Times New Roman"/>
          <w:b/>
          <w:bCs/>
          <w:kern w:val="0"/>
          <w:sz w:val="36"/>
          <w:szCs w:val="36"/>
          <w:lang w:val="zh-CN" w:bidi="zh-CN"/>
          <w14:ligatures w14:val="none"/>
        </w:rPr>
        <w:drawing>
          <wp:anchor distT="0" distB="0" distL="114300" distR="114300" simplePos="0" relativeHeight="251659264" behindDoc="0" locked="0" layoutInCell="1" allowOverlap="1">
            <wp:simplePos x="0" y="0"/>
            <wp:positionH relativeFrom="column">
              <wp:posOffset>0</wp:posOffset>
            </wp:positionH>
            <wp:positionV relativeFrom="page">
              <wp:posOffset>1065530</wp:posOffset>
            </wp:positionV>
            <wp:extent cx="8871585" cy="5179060"/>
            <wp:effectExtent l="0" t="0" r="5715" b="2540"/>
            <wp:wrapTopAndBottom/>
            <wp:docPr id="546925185" name="图片 1" descr="46ad734bacc5ef850c673c5c358e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25185" name="图片 1" descr="46ad734bacc5ef850c673c5c358e40d"/>
                    <pic:cNvPicPr>
                      <a:picLocks noChangeAspect="1" noChangeArrowheads="1"/>
                    </pic:cNvPicPr>
                  </pic:nvPicPr>
                  <pic:blipFill>
                    <a:blip r:embed="rId13">
                      <a:extLst>
                        <a:ext uri="{28A0092B-C50C-407E-A947-70E740481C1C}">
                          <a14:useLocalDpi xmlns:a14="http://schemas.microsoft.com/office/drawing/2010/main" val="0"/>
                        </a:ext>
                      </a:extLst>
                    </a:blip>
                    <a:srcRect l="4427" t="2918" r="2011" b="5290"/>
                    <a:stretch>
                      <a:fillRect/>
                    </a:stretch>
                  </pic:blipFill>
                  <pic:spPr>
                    <a:xfrm>
                      <a:off x="0" y="0"/>
                      <a:ext cx="8871585" cy="5179060"/>
                    </a:xfrm>
                    <a:prstGeom prst="rect">
                      <a:avLst/>
                    </a:prstGeom>
                    <a:noFill/>
                    <a:ln>
                      <a:noFill/>
                    </a:ln>
                    <a:effectLst/>
                  </pic:spPr>
                </pic:pic>
              </a:graphicData>
            </a:graphic>
          </wp:anchor>
        </w:drawing>
      </w:r>
    </w:p>
    <w:p>
      <w:pPr>
        <w:ind w:firstLine="0" w:firstLineChars="0"/>
        <w:jc w:val="center"/>
        <w:rPr>
          <w:rFonts w:ascii="黑体" w:hAnsi="黑体" w:eastAsia="黑体" w:cs="黑体"/>
          <w:sz w:val="32"/>
          <w:szCs w:val="32"/>
        </w:rPr>
      </w:pPr>
    </w:p>
    <w:p>
      <w:pPr>
        <w:ind w:firstLine="0" w:firstLineChars="0"/>
        <w:jc w:val="center"/>
        <w:rPr>
          <w:rFonts w:ascii="黑体" w:hAnsi="黑体" w:eastAsia="黑体" w:cs="黑体"/>
          <w:sz w:val="32"/>
          <w:szCs w:val="32"/>
        </w:rPr>
      </w:pPr>
    </w:p>
    <w:p>
      <w:pPr>
        <w:ind w:firstLine="0" w:firstLineChars="0"/>
        <w:jc w:val="center"/>
        <w:rPr>
          <w:rFonts w:ascii="黑体" w:hAnsi="黑体" w:eastAsia="黑体" w:cs="黑体"/>
          <w:sz w:val="32"/>
          <w:szCs w:val="32"/>
        </w:rPr>
      </w:pPr>
      <w:r>
        <w:rPr>
          <w:rFonts w:hint="eastAsia" w:ascii="黑体" w:hAnsi="黑体" w:eastAsia="黑体" w:cs="黑体"/>
          <w:sz w:val="32"/>
          <w:szCs w:val="32"/>
        </w:rPr>
        <w:t>洛浦县2024年灌溉用水定额评价报告责任页</w:t>
      </w:r>
    </w:p>
    <w:p>
      <w:pPr>
        <w:ind w:firstLine="640"/>
        <w:rPr>
          <w:sz w:val="32"/>
          <w:szCs w:val="32"/>
        </w:rPr>
      </w:pPr>
      <w:r>
        <w:rPr>
          <w:rFonts w:hint="eastAsia"/>
          <w:sz w:val="32"/>
          <w:szCs w:val="32"/>
        </w:rPr>
        <w:t>主管单位：</w:t>
      </w:r>
    </w:p>
    <w:p>
      <w:pPr>
        <w:ind w:firstLine="1280" w:firstLineChars="400"/>
        <w:rPr>
          <w:rFonts w:eastAsia="宋体"/>
          <w:sz w:val="32"/>
          <w:szCs w:val="32"/>
        </w:rPr>
      </w:pPr>
      <w:r>
        <w:rPr>
          <w:rFonts w:hint="eastAsia"/>
          <w:sz w:val="32"/>
          <w:szCs w:val="32"/>
        </w:rPr>
        <w:t>洛浦县水利局：罗志</w:t>
      </w:r>
    </w:p>
    <w:p>
      <w:pPr>
        <w:ind w:firstLine="1280" w:firstLineChars="400"/>
        <w:rPr>
          <w:sz w:val="32"/>
          <w:szCs w:val="32"/>
        </w:rPr>
      </w:pPr>
      <w:r>
        <w:rPr>
          <w:rFonts w:hint="eastAsia"/>
          <w:sz w:val="32"/>
          <w:szCs w:val="32"/>
        </w:rPr>
        <w:t>洛浦县水利局：阿卜来提·艾合麦提</w:t>
      </w:r>
    </w:p>
    <w:p>
      <w:pPr>
        <w:ind w:firstLine="1280" w:firstLineChars="400"/>
        <w:rPr>
          <w:sz w:val="32"/>
          <w:szCs w:val="32"/>
        </w:rPr>
      </w:pPr>
      <w:r>
        <w:rPr>
          <w:rFonts w:hint="eastAsia"/>
          <w:sz w:val="32"/>
          <w:szCs w:val="32"/>
        </w:rPr>
        <w:t>洛浦县灌溉用水服务中心：</w:t>
      </w:r>
    </w:p>
    <w:p>
      <w:pPr>
        <w:ind w:firstLine="4160" w:firstLineChars="1300"/>
        <w:rPr>
          <w:sz w:val="32"/>
          <w:szCs w:val="32"/>
        </w:rPr>
      </w:pPr>
      <w:r>
        <w:rPr>
          <w:rFonts w:hint="eastAsia"/>
          <w:sz w:val="32"/>
          <w:szCs w:val="32"/>
        </w:rPr>
        <w:t>如则麦麦提·吾吉阿卜拉</w:t>
      </w:r>
    </w:p>
    <w:p>
      <w:pPr>
        <w:ind w:firstLine="4160" w:firstLineChars="1300"/>
        <w:rPr>
          <w:sz w:val="32"/>
          <w:szCs w:val="32"/>
        </w:rPr>
      </w:pPr>
      <w:r>
        <w:rPr>
          <w:rFonts w:hint="eastAsia"/>
          <w:sz w:val="32"/>
          <w:szCs w:val="32"/>
        </w:rPr>
        <w:t>买买提艾力</w:t>
      </w:r>
    </w:p>
    <w:p>
      <w:pPr>
        <w:ind w:firstLine="4160" w:firstLineChars="1300"/>
        <w:rPr>
          <w:sz w:val="32"/>
          <w:szCs w:val="32"/>
        </w:rPr>
      </w:pPr>
      <w:r>
        <w:rPr>
          <w:rFonts w:hint="eastAsia"/>
          <w:sz w:val="32"/>
          <w:szCs w:val="32"/>
        </w:rPr>
        <w:t>聂红宝</w:t>
      </w:r>
    </w:p>
    <w:p>
      <w:pPr>
        <w:ind w:firstLine="4160" w:firstLineChars="1300"/>
        <w:rPr>
          <w:sz w:val="32"/>
          <w:szCs w:val="32"/>
        </w:rPr>
      </w:pPr>
      <w:r>
        <w:rPr>
          <w:rFonts w:hint="eastAsia"/>
          <w:sz w:val="32"/>
          <w:szCs w:val="32"/>
        </w:rPr>
        <w:t>王彬</w:t>
      </w:r>
    </w:p>
    <w:p>
      <w:pPr>
        <w:ind w:firstLine="640"/>
        <w:rPr>
          <w:sz w:val="32"/>
          <w:szCs w:val="32"/>
        </w:rPr>
      </w:pPr>
      <w:r>
        <w:rPr>
          <w:sz w:val="32"/>
          <w:szCs w:val="32"/>
        </w:rPr>
        <w:t>编制单位</w:t>
      </w:r>
      <w:r>
        <w:rPr>
          <w:rFonts w:hint="eastAsia"/>
          <w:sz w:val="32"/>
          <w:szCs w:val="32"/>
        </w:rPr>
        <w:t>：中城恒业设计集团有限公司和田第一分公司</w:t>
      </w:r>
    </w:p>
    <w:p>
      <w:pPr>
        <w:ind w:firstLine="2693" w:firstLineChars="962"/>
      </w:pPr>
      <w:r>
        <w:rPr>
          <w:rFonts w:hint="eastAsia"/>
        </w:rPr>
        <w:t>陈博</w:t>
      </w:r>
    </w:p>
    <w:p>
      <w:pPr>
        <w:ind w:firstLine="2693" w:firstLineChars="962"/>
      </w:pPr>
      <w:r>
        <w:rPr>
          <w:rFonts w:hint="eastAsia"/>
        </w:rPr>
        <w:t>刘庆山</w:t>
      </w:r>
    </w:p>
    <w:p>
      <w:pPr>
        <w:ind w:firstLine="2693" w:firstLineChars="962"/>
      </w:pPr>
      <w:r>
        <w:rPr>
          <w:rFonts w:hint="eastAsia"/>
        </w:rPr>
        <w:t>王建兴</w:t>
      </w:r>
    </w:p>
    <w:p>
      <w:pPr>
        <w:ind w:firstLine="2693" w:firstLineChars="962"/>
      </w:pPr>
      <w:r>
        <w:rPr>
          <w:rFonts w:hint="eastAsia"/>
        </w:rPr>
        <w:t>刘云梦</w:t>
      </w:r>
    </w:p>
    <w:p>
      <w:pPr>
        <w:ind w:firstLine="2693" w:firstLineChars="962"/>
      </w:pPr>
      <w:r>
        <w:rPr>
          <w:rFonts w:hint="eastAsia"/>
        </w:rPr>
        <w:t>贾文堂</w:t>
      </w:r>
    </w:p>
    <w:p>
      <w:pPr>
        <w:ind w:firstLine="2693" w:firstLineChars="962"/>
      </w:pPr>
      <w:r>
        <w:rPr>
          <w:rFonts w:hint="eastAsia"/>
        </w:rPr>
        <w:t>刘巧玲</w:t>
      </w:r>
    </w:p>
    <w:p>
      <w:pPr>
        <w:ind w:firstLine="560"/>
      </w:pPr>
    </w:p>
    <w:p>
      <w:pPr>
        <w:ind w:firstLine="560"/>
        <w:sectPr>
          <w:pgSz w:w="11906" w:h="16838"/>
          <w:pgMar w:top="1474" w:right="1474" w:bottom="1474" w:left="1474" w:header="1077" w:footer="907" w:gutter="340"/>
          <w:cols w:space="425" w:num="1"/>
          <w:docGrid w:type="lines" w:linePitch="312" w:charSpace="0"/>
        </w:sectPr>
      </w:pPr>
    </w:p>
    <w:p>
      <w:pPr>
        <w:ind w:firstLine="640"/>
        <w:jc w:val="center"/>
        <w:rPr>
          <w:sz w:val="32"/>
          <w:szCs w:val="32"/>
        </w:rPr>
      </w:pPr>
      <w:r>
        <w:rPr>
          <w:rFonts w:hint="eastAsia"/>
          <w:sz w:val="32"/>
          <w:szCs w:val="32"/>
        </w:rPr>
        <w:t>目 录</w:t>
      </w:r>
    </w:p>
    <w:p>
      <w:pPr>
        <w:pStyle w:val="11"/>
        <w:tabs>
          <w:tab w:val="right" w:leader="dot" w:pos="8494"/>
        </w:tabs>
        <w:ind w:firstLine="560"/>
        <w:rPr>
          <w:rFonts w:asciiTheme="minorHAnsi" w:hAnsiTheme="minorHAnsi" w:eastAsiaTheme="minorEastAsia"/>
          <w:sz w:val="21"/>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"_Toc164082397" </w:instrText>
      </w:r>
      <w:r>
        <w:fldChar w:fldCharType="separate"/>
      </w:r>
      <w:r>
        <w:rPr>
          <w:rStyle w:val="15"/>
        </w:rPr>
        <w:t>1 基本情况</w:t>
      </w:r>
      <w:r>
        <w:tab/>
      </w:r>
      <w:r>
        <w:fldChar w:fldCharType="begin"/>
      </w:r>
      <w:r>
        <w:instrText xml:space="preserve"> PAGEREF _Toc164082397 \h </w:instrText>
      </w:r>
      <w:r>
        <w:fldChar w:fldCharType="separate"/>
      </w:r>
      <w:r>
        <w:t>1</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"_Toc164082398" </w:instrText>
      </w:r>
      <w:r>
        <w:fldChar w:fldCharType="separate"/>
      </w:r>
      <w:r>
        <w:rPr>
          <w:rStyle w:val="15"/>
        </w:rPr>
        <w:t>1.1 自然、地理、气候</w:t>
      </w:r>
      <w:r>
        <w:tab/>
      </w:r>
      <w:r>
        <w:fldChar w:fldCharType="begin"/>
      </w:r>
      <w:r>
        <w:instrText xml:space="preserve"> PAGEREF _Toc164082398 \h </w:instrText>
      </w:r>
      <w:r>
        <w:fldChar w:fldCharType="separate"/>
      </w:r>
      <w:r>
        <w:t>1</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"_Toc164082399" </w:instrText>
      </w:r>
      <w:r>
        <w:fldChar w:fldCharType="separate"/>
      </w:r>
      <w:r>
        <w:rPr>
          <w:rStyle w:val="15"/>
        </w:rPr>
        <w:t>1.2 水资源及利用现状</w:t>
      </w:r>
      <w:r>
        <w:tab/>
      </w:r>
      <w:r>
        <w:fldChar w:fldCharType="begin"/>
      </w:r>
      <w:r>
        <w:instrText xml:space="preserve"> PAGEREF _Toc164082399 \h </w:instrText>
      </w:r>
      <w:r>
        <w:fldChar w:fldCharType="separate"/>
      </w:r>
      <w:r>
        <w:t>2</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"_Toc164082400" </w:instrText>
      </w:r>
      <w:r>
        <w:fldChar w:fldCharType="separate"/>
      </w:r>
      <w:r>
        <w:rPr>
          <w:rStyle w:val="15"/>
        </w:rPr>
        <w:t>1.3 水利工程情况</w:t>
      </w:r>
      <w:r>
        <w:tab/>
      </w:r>
      <w:r>
        <w:fldChar w:fldCharType="begin"/>
      </w:r>
      <w:r>
        <w:instrText xml:space="preserve"> PAGEREF _Toc164082400 \h </w:instrText>
      </w:r>
      <w:r>
        <w:fldChar w:fldCharType="separate"/>
      </w:r>
      <w:r>
        <w:t>2</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"_Toc164082401" </w:instrText>
      </w:r>
      <w:r>
        <w:fldChar w:fldCharType="separate"/>
      </w:r>
      <w:r>
        <w:rPr>
          <w:rStyle w:val="15"/>
        </w:rPr>
        <w:t>1.3.1 引水工程</w:t>
      </w:r>
      <w:r>
        <w:tab/>
      </w:r>
      <w:r>
        <w:fldChar w:fldCharType="begin"/>
      </w:r>
      <w:r>
        <w:instrText xml:space="preserve"> PAGEREF _Toc164082401 \h </w:instrText>
      </w:r>
      <w:r>
        <w:fldChar w:fldCharType="separate"/>
      </w:r>
      <w:r>
        <w:t>3</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"_Toc164082402" </w:instrText>
      </w:r>
      <w:r>
        <w:fldChar w:fldCharType="separate"/>
      </w:r>
      <w:r>
        <w:rPr>
          <w:rStyle w:val="15"/>
        </w:rPr>
        <w:t>1.3.2 输水工程</w:t>
      </w:r>
      <w:r>
        <w:tab/>
      </w:r>
      <w:r>
        <w:fldChar w:fldCharType="begin"/>
      </w:r>
      <w:r>
        <w:instrText xml:space="preserve"> PAGEREF _Toc164082402 \h </w:instrText>
      </w:r>
      <w:r>
        <w:fldChar w:fldCharType="separate"/>
      </w:r>
      <w:r>
        <w:t>3</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"_Toc164082403" </w:instrText>
      </w:r>
      <w:r>
        <w:fldChar w:fldCharType="separate"/>
      </w:r>
      <w:r>
        <w:rPr>
          <w:rStyle w:val="15"/>
        </w:rPr>
        <w:t>1.3.3 蓄水工程</w:t>
      </w:r>
      <w:r>
        <w:tab/>
      </w:r>
      <w:r>
        <w:fldChar w:fldCharType="begin"/>
      </w:r>
      <w:r>
        <w:instrText xml:space="preserve"> PAGEREF _Toc164082403 \h </w:instrText>
      </w:r>
      <w:r>
        <w:fldChar w:fldCharType="separate"/>
      </w:r>
      <w:r>
        <w:t>4</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"_Toc164082404" </w:instrText>
      </w:r>
      <w:r>
        <w:fldChar w:fldCharType="separate"/>
      </w:r>
      <w:r>
        <w:rPr>
          <w:rStyle w:val="15"/>
        </w:rPr>
        <w:t>1.3.4 地下水工程</w:t>
      </w:r>
      <w:r>
        <w:tab/>
      </w:r>
      <w:r>
        <w:fldChar w:fldCharType="begin"/>
      </w:r>
      <w:r>
        <w:instrText xml:space="preserve"> PAGEREF _Toc164082404 \h </w:instrText>
      </w:r>
      <w:r>
        <w:fldChar w:fldCharType="separate"/>
      </w:r>
      <w:r>
        <w:t>4</w:t>
      </w:r>
      <w:r>
        <w:fldChar w:fldCharType="end"/>
      </w:r>
      <w:r>
        <w:fldChar w:fldCharType="end"/>
      </w:r>
    </w:p>
    <w:p>
      <w:pPr>
        <w:pStyle w:val="11"/>
        <w:tabs>
          <w:tab w:val="right" w:leader="dot" w:pos="8494"/>
        </w:tabs>
        <w:ind w:firstLine="560"/>
        <w:rPr>
          <w:rFonts w:asciiTheme="minorHAnsi" w:hAnsiTheme="minorHAnsi" w:eastAsiaTheme="minorEastAsia"/>
          <w:sz w:val="21"/>
        </w:rPr>
      </w:pPr>
      <w:r>
        <w:fldChar w:fldCharType="begin"/>
      </w:r>
      <w:r>
        <w:instrText xml:space="preserve"> HYPERLINK \l "_Toc164082405" </w:instrText>
      </w:r>
      <w:r>
        <w:fldChar w:fldCharType="separate"/>
      </w:r>
      <w:r>
        <w:rPr>
          <w:rStyle w:val="15"/>
        </w:rPr>
        <w:t>2 灌溉用水定额编制工作情况</w:t>
      </w:r>
      <w:r>
        <w:tab/>
      </w:r>
      <w:r>
        <w:fldChar w:fldCharType="begin"/>
      </w:r>
      <w:r>
        <w:instrText xml:space="preserve"> PAGEREF _Toc164082405 \h </w:instrText>
      </w:r>
      <w:r>
        <w:fldChar w:fldCharType="separate"/>
      </w:r>
      <w:r>
        <w:t>6</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"_Toc164082406" </w:instrText>
      </w:r>
      <w:r>
        <w:fldChar w:fldCharType="separate"/>
      </w:r>
      <w:r>
        <w:rPr>
          <w:rStyle w:val="15"/>
        </w:rPr>
        <w:t>2.1编制依据</w:t>
      </w:r>
      <w:r>
        <w:tab/>
      </w:r>
      <w:r>
        <w:fldChar w:fldCharType="begin"/>
      </w:r>
      <w:r>
        <w:instrText xml:space="preserve"> PAGEREF _Toc164082406 \h </w:instrText>
      </w:r>
      <w:r>
        <w:fldChar w:fldCharType="separate"/>
      </w:r>
      <w:r>
        <w:t>6</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"_Toc164082407" </w:instrText>
      </w:r>
      <w:r>
        <w:fldChar w:fldCharType="separate"/>
      </w:r>
      <w:r>
        <w:rPr>
          <w:rStyle w:val="15"/>
        </w:rPr>
        <w:t>2.1.1 编制依据</w:t>
      </w:r>
      <w:r>
        <w:tab/>
      </w:r>
      <w:r>
        <w:fldChar w:fldCharType="begin"/>
      </w:r>
      <w:r>
        <w:instrText xml:space="preserve"> PAGEREF _Toc164082407 \h </w:instrText>
      </w:r>
      <w:r>
        <w:fldChar w:fldCharType="separate"/>
      </w:r>
      <w:r>
        <w:t>6</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"_Toc164082408" </w:instrText>
      </w:r>
      <w:r>
        <w:fldChar w:fldCharType="separate"/>
      </w:r>
      <w:r>
        <w:rPr>
          <w:rStyle w:val="15"/>
        </w:rPr>
        <w:t>2.1.2 编制标准</w:t>
      </w:r>
      <w:r>
        <w:tab/>
      </w:r>
      <w:r>
        <w:fldChar w:fldCharType="begin"/>
      </w:r>
      <w:r>
        <w:instrText xml:space="preserve"> PAGEREF _Toc164082408 \h </w:instrText>
      </w:r>
      <w:r>
        <w:fldChar w:fldCharType="separate"/>
      </w:r>
      <w:r>
        <w:t>6</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"_Toc164082409" </w:instrText>
      </w:r>
      <w:r>
        <w:fldChar w:fldCharType="separate"/>
      </w:r>
      <w:r>
        <w:rPr>
          <w:rStyle w:val="15"/>
        </w:rPr>
        <w:t>2.2 编制原则</w:t>
      </w:r>
      <w:r>
        <w:tab/>
      </w:r>
      <w:r>
        <w:fldChar w:fldCharType="begin"/>
      </w:r>
      <w:r>
        <w:instrText xml:space="preserve"> PAGEREF _Toc164082409 \h </w:instrText>
      </w:r>
      <w:r>
        <w:fldChar w:fldCharType="separate"/>
      </w:r>
      <w:r>
        <w:t>7</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"_Toc164082410" </w:instrText>
      </w:r>
      <w:r>
        <w:fldChar w:fldCharType="separate"/>
      </w:r>
      <w:r>
        <w:rPr>
          <w:rStyle w:val="15"/>
        </w:rPr>
        <w:t>2.3 工作开展情况</w:t>
      </w:r>
      <w:r>
        <w:tab/>
      </w:r>
      <w:r>
        <w:fldChar w:fldCharType="begin"/>
      </w:r>
      <w:r>
        <w:instrText xml:space="preserve"> PAGEREF _Toc164082410 \h </w:instrText>
      </w:r>
      <w:r>
        <w:fldChar w:fldCharType="separate"/>
      </w:r>
      <w:r>
        <w:t>8</w:t>
      </w:r>
      <w:r>
        <w:fldChar w:fldCharType="end"/>
      </w:r>
      <w:r>
        <w:fldChar w:fldCharType="end"/>
      </w:r>
    </w:p>
    <w:p>
      <w:pPr>
        <w:pStyle w:val="11"/>
        <w:tabs>
          <w:tab w:val="right" w:leader="dot" w:pos="8494"/>
        </w:tabs>
        <w:ind w:firstLine="560"/>
        <w:rPr>
          <w:rFonts w:asciiTheme="minorHAnsi" w:hAnsiTheme="minorHAnsi" w:eastAsiaTheme="minorEastAsia"/>
          <w:sz w:val="21"/>
        </w:rPr>
      </w:pPr>
      <w:r>
        <w:fldChar w:fldCharType="begin"/>
      </w:r>
      <w:r>
        <w:instrText xml:space="preserve"> HYPERLINK \l "_Toc164082411" </w:instrText>
      </w:r>
      <w:r>
        <w:fldChar w:fldCharType="separate"/>
      </w:r>
      <w:r>
        <w:rPr>
          <w:rStyle w:val="15"/>
        </w:rPr>
        <w:t>3 灌溉用水定额分区</w:t>
      </w:r>
      <w:r>
        <w:tab/>
      </w:r>
      <w:r>
        <w:fldChar w:fldCharType="begin"/>
      </w:r>
      <w:r>
        <w:instrText xml:space="preserve"> PAGEREF _Toc164082411 \h </w:instrText>
      </w:r>
      <w:r>
        <w:fldChar w:fldCharType="separate"/>
      </w:r>
      <w:r>
        <w:t>11</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"_Toc164082412" </w:instrText>
      </w:r>
      <w:r>
        <w:fldChar w:fldCharType="separate"/>
      </w:r>
      <w:r>
        <w:rPr>
          <w:rStyle w:val="15"/>
        </w:rPr>
        <w:t>3.1分区原则</w:t>
      </w:r>
      <w:r>
        <w:tab/>
      </w:r>
      <w:r>
        <w:fldChar w:fldCharType="begin"/>
      </w:r>
      <w:r>
        <w:instrText xml:space="preserve"> PAGEREF _Toc164082412 \h </w:instrText>
      </w:r>
      <w:r>
        <w:fldChar w:fldCharType="separate"/>
      </w:r>
      <w:r>
        <w:t>11</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"_Toc164082413" </w:instrText>
      </w:r>
      <w:r>
        <w:fldChar w:fldCharType="separate"/>
      </w:r>
      <w:r>
        <w:rPr>
          <w:rStyle w:val="15"/>
        </w:rPr>
        <w:t>3.2分区方法</w:t>
      </w:r>
      <w:r>
        <w:tab/>
      </w:r>
      <w:r>
        <w:fldChar w:fldCharType="begin"/>
      </w:r>
      <w:r>
        <w:instrText xml:space="preserve"> PAGEREF _Toc164082413 \h </w:instrText>
      </w:r>
      <w:r>
        <w:fldChar w:fldCharType="separate"/>
      </w:r>
      <w:r>
        <w:t>11</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"_Toc164082414" </w:instrText>
      </w:r>
      <w:r>
        <w:fldChar w:fldCharType="separate"/>
      </w:r>
      <w:r>
        <w:rPr>
          <w:rStyle w:val="15"/>
        </w:rPr>
        <w:t>3.3分区概述</w:t>
      </w:r>
      <w:r>
        <w:tab/>
      </w:r>
      <w:r>
        <w:fldChar w:fldCharType="begin"/>
      </w:r>
      <w:r>
        <w:instrText xml:space="preserve"> PAGEREF _Toc164082414 \h </w:instrText>
      </w:r>
      <w:r>
        <w:fldChar w:fldCharType="separate"/>
      </w:r>
      <w:r>
        <w:t>13</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"_Toc164082415" </w:instrText>
      </w:r>
      <w:r>
        <w:fldChar w:fldCharType="separate"/>
      </w:r>
      <w:r>
        <w:rPr>
          <w:rStyle w:val="15"/>
        </w:rPr>
        <w:t>3.3.1 样点灌区基本情况与代表性分析</w:t>
      </w:r>
      <w:r>
        <w:tab/>
      </w:r>
      <w:r>
        <w:fldChar w:fldCharType="begin"/>
      </w:r>
      <w:r>
        <w:instrText xml:space="preserve"> PAGEREF _Toc164082415 \h </w:instrText>
      </w:r>
      <w:r>
        <w:fldChar w:fldCharType="separate"/>
      </w:r>
      <w:r>
        <w:t>13</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"_Toc164082416" </w:instrText>
      </w:r>
      <w:r>
        <w:fldChar w:fldCharType="separate"/>
      </w:r>
      <w:r>
        <w:rPr>
          <w:rStyle w:val="15"/>
        </w:rPr>
        <w:t>3.3.2 样点灌区测算分析方法</w:t>
      </w:r>
      <w:r>
        <w:tab/>
      </w:r>
      <w:r>
        <w:fldChar w:fldCharType="begin"/>
      </w:r>
      <w:r>
        <w:instrText xml:space="preserve"> PAGEREF _Toc164082416 \h </w:instrText>
      </w:r>
      <w:r>
        <w:fldChar w:fldCharType="separate"/>
      </w:r>
      <w:r>
        <w:t>13</w:t>
      </w:r>
      <w:r>
        <w:fldChar w:fldCharType="end"/>
      </w:r>
      <w:r>
        <w:fldChar w:fldCharType="end"/>
      </w:r>
    </w:p>
    <w:p>
      <w:pPr>
        <w:pStyle w:val="11"/>
        <w:tabs>
          <w:tab w:val="right" w:leader="dot" w:pos="8494"/>
        </w:tabs>
        <w:ind w:firstLine="560"/>
        <w:rPr>
          <w:rFonts w:asciiTheme="minorHAnsi" w:hAnsiTheme="minorHAnsi" w:eastAsiaTheme="minorEastAsia"/>
          <w:sz w:val="21"/>
        </w:rPr>
      </w:pPr>
      <w:r>
        <w:fldChar w:fldCharType="begin"/>
      </w:r>
      <w:r>
        <w:instrText xml:space="preserve"> HYPERLINK \l "_Toc164082417" </w:instrText>
      </w:r>
      <w:r>
        <w:fldChar w:fldCharType="separate"/>
      </w:r>
      <w:r>
        <w:rPr>
          <w:rStyle w:val="15"/>
        </w:rPr>
        <w:t>4 灌溉用水定额现状分析</w:t>
      </w:r>
      <w:r>
        <w:tab/>
      </w:r>
      <w:r>
        <w:fldChar w:fldCharType="begin"/>
      </w:r>
      <w:r>
        <w:instrText xml:space="preserve"> PAGEREF _Toc164082417 \h </w:instrText>
      </w:r>
      <w:r>
        <w:fldChar w:fldCharType="separate"/>
      </w:r>
      <w:r>
        <w:t>15</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"_Toc164082418" </w:instrText>
      </w:r>
      <w:r>
        <w:fldChar w:fldCharType="separate"/>
      </w:r>
      <w:r>
        <w:rPr>
          <w:rStyle w:val="15"/>
        </w:rPr>
        <w:t>4.1典型区选择及基本情况</w:t>
      </w:r>
      <w:r>
        <w:tab/>
      </w:r>
      <w:r>
        <w:fldChar w:fldCharType="begin"/>
      </w:r>
      <w:r>
        <w:instrText xml:space="preserve"> PAGEREF _Toc164082418 \h </w:instrText>
      </w:r>
      <w:r>
        <w:fldChar w:fldCharType="separate"/>
      </w:r>
      <w:r>
        <w:t>15</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"_Toc164082419" </w:instrText>
      </w:r>
      <w:r>
        <w:fldChar w:fldCharType="separate"/>
      </w:r>
      <w:r>
        <w:rPr>
          <w:rStyle w:val="15"/>
        </w:rPr>
        <w:t>4.2分区现状用水定额分析</w:t>
      </w:r>
      <w:r>
        <w:tab/>
      </w:r>
      <w:r>
        <w:fldChar w:fldCharType="begin"/>
      </w:r>
      <w:r>
        <w:instrText xml:space="preserve"> PAGEREF _Toc164082419 \h </w:instrText>
      </w:r>
      <w:r>
        <w:fldChar w:fldCharType="separate"/>
      </w:r>
      <w:r>
        <w:t>16</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"_Toc164082420" </w:instrText>
      </w:r>
      <w:r>
        <w:fldChar w:fldCharType="separate"/>
      </w:r>
      <w:r>
        <w:rPr>
          <w:rStyle w:val="15"/>
        </w:rPr>
        <w:t>4.3现状分区灌溉水利用系数分析</w:t>
      </w:r>
      <w:r>
        <w:tab/>
      </w:r>
      <w:r>
        <w:fldChar w:fldCharType="begin"/>
      </w:r>
      <w:r>
        <w:instrText xml:space="preserve"> PAGEREF _Toc164082420 \h </w:instrText>
      </w:r>
      <w:r>
        <w:fldChar w:fldCharType="separate"/>
      </w:r>
      <w:r>
        <w:t>19</w:t>
      </w:r>
      <w:r>
        <w:fldChar w:fldCharType="end"/>
      </w:r>
      <w:r>
        <w:fldChar w:fldCharType="end"/>
      </w:r>
    </w:p>
    <w:p>
      <w:pPr>
        <w:pStyle w:val="11"/>
        <w:tabs>
          <w:tab w:val="right" w:leader="dot" w:pos="8494"/>
        </w:tabs>
        <w:ind w:firstLine="560"/>
        <w:rPr>
          <w:rFonts w:asciiTheme="minorHAnsi" w:hAnsiTheme="minorHAnsi" w:eastAsiaTheme="minorEastAsia"/>
          <w:sz w:val="21"/>
        </w:rPr>
      </w:pPr>
      <w:r>
        <w:fldChar w:fldCharType="begin"/>
      </w:r>
      <w:r>
        <w:instrText xml:space="preserve"> HYPERLINK \l "_Toc164082421" </w:instrText>
      </w:r>
      <w:r>
        <w:fldChar w:fldCharType="separate"/>
      </w:r>
      <w:r>
        <w:rPr>
          <w:rStyle w:val="15"/>
        </w:rPr>
        <w:t>5 计划灌溉用水定额制定</w:t>
      </w:r>
      <w:r>
        <w:tab/>
      </w:r>
      <w:r>
        <w:fldChar w:fldCharType="begin"/>
      </w:r>
      <w:r>
        <w:instrText xml:space="preserve"> PAGEREF _Toc164082421 \h </w:instrText>
      </w:r>
      <w:r>
        <w:fldChar w:fldCharType="separate"/>
      </w:r>
      <w:r>
        <w:t>20</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"_Toc164082422" </w:instrText>
      </w:r>
      <w:r>
        <w:fldChar w:fldCharType="separate"/>
      </w:r>
      <w:r>
        <w:rPr>
          <w:rStyle w:val="15"/>
        </w:rPr>
        <w:t>5.1理论用水定额分析</w:t>
      </w:r>
      <w:r>
        <w:tab/>
      </w:r>
      <w:r>
        <w:fldChar w:fldCharType="begin"/>
      </w:r>
      <w:r>
        <w:instrText xml:space="preserve"> PAGEREF _Toc164082422 \h </w:instrText>
      </w:r>
      <w:r>
        <w:fldChar w:fldCharType="separate"/>
      </w:r>
      <w:r>
        <w:t>20</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"_Toc164082423" </w:instrText>
      </w:r>
      <w:r>
        <w:fldChar w:fldCharType="separate"/>
      </w:r>
      <w:r>
        <w:rPr>
          <w:rStyle w:val="15"/>
        </w:rPr>
        <w:t>5.1.1 洛浦县灌溉水有效利用系数的测算</w:t>
      </w:r>
      <w:r>
        <w:tab/>
      </w:r>
      <w:r>
        <w:fldChar w:fldCharType="begin"/>
      </w:r>
      <w:r>
        <w:instrText xml:space="preserve"> PAGEREF _Toc164082423 \h </w:instrText>
      </w:r>
      <w:r>
        <w:fldChar w:fldCharType="separate"/>
      </w:r>
      <w:r>
        <w:t>20</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"_Toc164082424" </w:instrText>
      </w:r>
      <w:r>
        <w:fldChar w:fldCharType="separate"/>
      </w:r>
      <w:r>
        <w:rPr>
          <w:rStyle w:val="15"/>
        </w:rPr>
        <w:t>5.1.2 年毛灌溉用水总量确定</w:t>
      </w:r>
      <w:r>
        <w:tab/>
      </w:r>
      <w:r>
        <w:fldChar w:fldCharType="begin"/>
      </w:r>
      <w:r>
        <w:instrText xml:space="preserve"> PAGEREF _Toc164082424 \h </w:instrText>
      </w:r>
      <w:r>
        <w:fldChar w:fldCharType="separate"/>
      </w:r>
      <w:r>
        <w:t>23</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"_Toc164082425" </w:instrText>
      </w:r>
      <w:r>
        <w:fldChar w:fldCharType="separate"/>
      </w:r>
      <w:r>
        <w:rPr>
          <w:rStyle w:val="15"/>
        </w:rPr>
        <w:t>5.1.3 净灌溉用水量确定</w:t>
      </w:r>
      <w:r>
        <w:tab/>
      </w:r>
      <w:r>
        <w:fldChar w:fldCharType="begin"/>
      </w:r>
      <w:r>
        <w:instrText xml:space="preserve"> PAGEREF _Toc164082425 \h </w:instrText>
      </w:r>
      <w:r>
        <w:fldChar w:fldCharType="separate"/>
      </w:r>
      <w:r>
        <w:t>24</w:t>
      </w:r>
      <w:r>
        <w:fldChar w:fldCharType="end"/>
      </w:r>
      <w:r>
        <w:fldChar w:fldCharType="end"/>
      </w:r>
    </w:p>
    <w:p>
      <w:pPr>
        <w:pStyle w:val="12"/>
        <w:tabs>
          <w:tab w:val="right" w:leader="dot" w:pos="8494"/>
        </w:tabs>
        <w:ind w:left="560" w:firstLine="560"/>
        <w:rPr>
          <w:rFonts w:asciiTheme="minorHAnsi" w:hAnsiTheme="minorHAnsi" w:eastAsiaTheme="minorEastAsia"/>
          <w:sz w:val="21"/>
        </w:rPr>
      </w:pPr>
      <w:r>
        <w:fldChar w:fldCharType="begin"/>
      </w:r>
      <w:r>
        <w:instrText xml:space="preserve"> HYPERLINK \l "_Toc164082426" </w:instrText>
      </w:r>
      <w:r>
        <w:fldChar w:fldCharType="separate"/>
      </w:r>
      <w:r>
        <w:rPr>
          <w:rStyle w:val="15"/>
        </w:rPr>
        <w:t>5.2 用水定额制定（2024年）</w:t>
      </w:r>
      <w:r>
        <w:tab/>
      </w:r>
      <w:r>
        <w:fldChar w:fldCharType="begin"/>
      </w:r>
      <w:r>
        <w:instrText xml:space="preserve"> PAGEREF _Toc164082426 \h </w:instrText>
      </w:r>
      <w:r>
        <w:fldChar w:fldCharType="separate"/>
      </w:r>
      <w:r>
        <w:t>26</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"_Toc164082427" </w:instrText>
      </w:r>
      <w:r>
        <w:fldChar w:fldCharType="separate"/>
      </w:r>
      <w:r>
        <w:rPr>
          <w:rStyle w:val="15"/>
        </w:rPr>
        <w:t>5.2.1 常规灌溉用水定额的制定</w:t>
      </w:r>
      <w:r>
        <w:tab/>
      </w:r>
      <w:r>
        <w:fldChar w:fldCharType="begin"/>
      </w:r>
      <w:r>
        <w:instrText xml:space="preserve"> PAGEREF _Toc164082427 \h </w:instrText>
      </w:r>
      <w:r>
        <w:fldChar w:fldCharType="separate"/>
      </w:r>
      <w:r>
        <w:t>26</w:t>
      </w:r>
      <w:r>
        <w:fldChar w:fldCharType="end"/>
      </w:r>
      <w:r>
        <w:fldChar w:fldCharType="end"/>
      </w:r>
    </w:p>
    <w:p>
      <w:pPr>
        <w:pStyle w:val="7"/>
        <w:tabs>
          <w:tab w:val="right" w:leader="dot" w:pos="8494"/>
        </w:tabs>
        <w:ind w:left="1120" w:firstLine="560"/>
        <w:rPr>
          <w:rFonts w:asciiTheme="minorHAnsi" w:hAnsiTheme="minorHAnsi" w:eastAsiaTheme="minorEastAsia"/>
          <w:sz w:val="21"/>
        </w:rPr>
      </w:pPr>
      <w:r>
        <w:fldChar w:fldCharType="begin"/>
      </w:r>
      <w:r>
        <w:instrText xml:space="preserve"> HYPERLINK \l "_Toc164082428" </w:instrText>
      </w:r>
      <w:r>
        <w:fldChar w:fldCharType="separate"/>
      </w:r>
      <w:r>
        <w:rPr>
          <w:rStyle w:val="15"/>
        </w:rPr>
        <w:t>5.2.2 高效节水灌溉用水定额的制定</w:t>
      </w:r>
      <w:r>
        <w:tab/>
      </w:r>
      <w:r>
        <w:fldChar w:fldCharType="begin"/>
      </w:r>
      <w:r>
        <w:instrText xml:space="preserve"> PAGEREF _Toc164082428 \h </w:instrText>
      </w:r>
      <w:r>
        <w:fldChar w:fldCharType="separate"/>
      </w:r>
      <w:r>
        <w:t>28</w:t>
      </w:r>
      <w:r>
        <w:fldChar w:fldCharType="end"/>
      </w:r>
      <w:r>
        <w:fldChar w:fldCharType="end"/>
      </w:r>
    </w:p>
    <w:p>
      <w:pPr>
        <w:ind w:firstLine="560"/>
      </w:pPr>
      <w:r>
        <w:fldChar w:fldCharType="end"/>
      </w:r>
    </w:p>
    <w:p>
      <w:pPr>
        <w:tabs>
          <w:tab w:val="left" w:pos="2775"/>
        </w:tabs>
        <w:ind w:firstLine="560"/>
      </w:pPr>
    </w:p>
    <w:p>
      <w:pPr>
        <w:tabs>
          <w:tab w:val="left" w:pos="2775"/>
        </w:tabs>
        <w:ind w:firstLine="560"/>
      </w:pPr>
    </w:p>
    <w:p>
      <w:pPr>
        <w:tabs>
          <w:tab w:val="left" w:pos="2775"/>
        </w:tabs>
        <w:ind w:firstLine="560"/>
        <w:sectPr>
          <w:pgSz w:w="11906" w:h="16838"/>
          <w:pgMar w:top="1474" w:right="1474" w:bottom="1474" w:left="1474" w:header="1077" w:footer="907" w:gutter="340"/>
          <w:pgNumType w:fmt="upperRoman" w:start="1"/>
          <w:cols w:space="425" w:num="1"/>
          <w:docGrid w:type="lines" w:linePitch="312" w:charSpace="0"/>
        </w:sectPr>
      </w:pPr>
      <w:r>
        <w:tab/>
      </w:r>
    </w:p>
    <w:p>
      <w:pPr>
        <w:pStyle w:val="2"/>
      </w:pPr>
      <w:bookmarkStart w:id="2" w:name="_Toc164082397"/>
      <w:r>
        <w:t>1 基本情况</w:t>
      </w:r>
      <w:bookmarkEnd w:id="2"/>
    </w:p>
    <w:p>
      <w:pPr>
        <w:pStyle w:val="3"/>
      </w:pPr>
      <w:bookmarkStart w:id="3" w:name="_Toc164082398"/>
      <w:r>
        <w:t>1.1</w:t>
      </w:r>
      <w:r>
        <w:rPr>
          <w:rFonts w:hint="eastAsia"/>
        </w:rPr>
        <w:t xml:space="preserve"> </w:t>
      </w:r>
      <w:r>
        <w:t>自然、地理、气候</w:t>
      </w:r>
      <w:bookmarkEnd w:id="3"/>
    </w:p>
    <w:p>
      <w:pPr>
        <w:ind w:firstLine="560"/>
      </w:pPr>
      <w:r>
        <w:t>洛浦县位于新疆维吾尔自治区西南部，</w:t>
      </w:r>
      <w:r>
        <w:rPr>
          <w:rFonts w:hint="eastAsia"/>
        </w:rPr>
        <w:t>地处喀喇</w:t>
      </w:r>
      <w:r>
        <w:t>昆仑山北麓，塔里木盆地</w:t>
      </w:r>
      <w:r>
        <w:rPr>
          <w:rFonts w:hint="eastAsia"/>
        </w:rPr>
        <w:t>西南</w:t>
      </w:r>
      <w:r>
        <w:t>，</w:t>
      </w:r>
      <w:r>
        <w:rPr>
          <w:rFonts w:hint="eastAsia"/>
        </w:rPr>
        <w:t>是和田河流域绿洲的一部分，</w:t>
      </w:r>
      <w:r>
        <w:t>地处东经79</w:t>
      </w:r>
      <w:r>
        <w:rPr>
          <w:rFonts w:hint="eastAsia"/>
        </w:rPr>
        <w:t>°</w:t>
      </w:r>
      <w:r>
        <w:t>59′-81</w:t>
      </w:r>
      <w:r>
        <w:rPr>
          <w:rFonts w:hint="eastAsia"/>
        </w:rPr>
        <w:t>°</w:t>
      </w:r>
      <w:r>
        <w:t>83′，北纬36</w:t>
      </w:r>
      <w:r>
        <w:rPr>
          <w:rFonts w:hint="eastAsia"/>
        </w:rPr>
        <w:t>°</w:t>
      </w:r>
      <w:r>
        <w:t>30′-39</w:t>
      </w:r>
      <w:r>
        <w:rPr>
          <w:rFonts w:hint="eastAsia"/>
        </w:rPr>
        <w:t>°</w:t>
      </w:r>
      <w:r>
        <w:t>29′</w:t>
      </w:r>
      <w:r>
        <w:rPr>
          <w:rFonts w:hint="eastAsia"/>
        </w:rPr>
        <w:t>，</w:t>
      </w:r>
      <w:r>
        <w:t>东邻策勒县，南靠昆仑山，西以玉龙喀什河为界与和田县、市隔河相望，北伸延入塔克拉玛干大沙漠与阿克苏市、阿瓦提县为邻，南北长约337.5公里，东西宽约24.9公里至67.5公里，总面积14287平方公里，其中：山地10.2%，平原绿洲占5.8%，沙漠占84%。县城西距和田市22公里，北距自治区首府乌鲁木齐市2007公里，直距约900公里，315国道横贯全县。</w:t>
      </w:r>
    </w:p>
    <w:p>
      <w:pPr>
        <w:ind w:firstLine="560"/>
      </w:pPr>
      <w:r>
        <w:t>洛浦县总的地势是南高北低，伴以西南高东北低的次一级特征县境内海拔高程5466m～1100m之间，整体</w:t>
      </w:r>
      <w:r>
        <w:rPr>
          <w:rFonts w:hint="eastAsia"/>
        </w:rPr>
        <w:t>呈</w:t>
      </w:r>
      <w:r>
        <w:t>条形，由南部山地和中、北部平原两大部分构成，其地貌由三部分组成：南部为山区，中部为平原区，北部为沙漠区。其中南部山区，海拔约1600m</w:t>
      </w:r>
      <w:r>
        <w:rPr>
          <w:rFonts w:hint="eastAsia"/>
        </w:rPr>
        <w:t>—</w:t>
      </w:r>
      <w:r>
        <w:t>3300m及以上；山前冲积扇和冲积洪积平原，海拔约1300m</w:t>
      </w:r>
      <w:r>
        <w:rPr>
          <w:rFonts w:hint="eastAsia"/>
        </w:rPr>
        <w:t>—</w:t>
      </w:r>
      <w:r>
        <w:t>1600m</w:t>
      </w:r>
      <w:r>
        <w:rPr>
          <w:rFonts w:hint="eastAsia"/>
        </w:rPr>
        <w:t>；</w:t>
      </w:r>
      <w:r>
        <w:t>北部沙漠区，海拔约1300m以下。境内山丘属昆仑支脉，南部最高山为铁克勒克山，海拔5466m。</w:t>
      </w:r>
    </w:p>
    <w:p>
      <w:pPr>
        <w:ind w:firstLine="560"/>
      </w:pPr>
      <w:r>
        <w:t>项目区属昆仑山脉中段，山地由南向北可划分三个地貌单元：</w:t>
      </w:r>
    </w:p>
    <w:p>
      <w:pPr>
        <w:ind w:firstLine="560"/>
      </w:pPr>
      <w:r>
        <w:t>高山带：海拔高程3300m以上，峰峦重叠，山壁陡峭，5300m以上终年积雪，为现代冰川和永久积雪带</w:t>
      </w:r>
      <w:r>
        <w:rPr>
          <w:rFonts w:hint="eastAsia"/>
        </w:rPr>
        <w:t>（</w:t>
      </w:r>
      <w:r>
        <w:t>面积约11.7万亩</w:t>
      </w:r>
      <w:r>
        <w:rPr>
          <w:rFonts w:hint="eastAsia"/>
        </w:rPr>
        <w:t>），</w:t>
      </w:r>
      <w:r>
        <w:t>常年有水的玉龙喀什河发源于此。山体多为坚硬的变质岩、花岗岩等古老岩石组成。雪线以下依次分布着高寒草甸、寒生草原、山地草原，是本县的重要夏秋牧场。</w:t>
      </w:r>
    </w:p>
    <w:p>
      <w:pPr>
        <w:ind w:firstLine="560"/>
      </w:pPr>
      <w:r>
        <w:t>中山带：海拔高程3300m～2500m</w:t>
      </w:r>
      <w:r>
        <w:rPr>
          <w:rFonts w:hint="eastAsia"/>
        </w:rPr>
        <w:t>，</w:t>
      </w:r>
      <w:r>
        <w:t>山峦起伏大，沟涧纵横，阿其克河发源于此。但也有一些山势平缓或浑圆山顶。本带自上而下依次分布着山地荒漠草原、山地草原化荒漠、山地荒漠，是本县主要的冬春草场。低山丘陵带：海拔高程2500m～1600m</w:t>
      </w:r>
      <w:r>
        <w:rPr>
          <w:rFonts w:hint="eastAsia"/>
        </w:rPr>
        <w:t>，</w:t>
      </w:r>
      <w:r>
        <w:t>地表多为风化物所覆盖，部分地区分布薄层土壤，干旱贫瘠，属干旱荒漠，为草质低劣的冬春草场。</w:t>
      </w:r>
    </w:p>
    <w:p>
      <w:pPr>
        <w:ind w:firstLine="560"/>
      </w:pPr>
      <w:r>
        <w:t>中部平原区：中部平原区地貌单元海拔高程在1600m～1300m之间，地势相对平坦，是洛浦县绿洲农业区。</w:t>
      </w:r>
    </w:p>
    <w:p>
      <w:pPr>
        <w:ind w:firstLine="560"/>
      </w:pPr>
      <w:r>
        <w:t>北部沙漠区：北部沙漠区海拔高程1300m～1240m。该区与绿洲平原区相比，气候具有更明显的沙漠气候特征，降水极其稀少，蒸发浓缩强烈。土壤有风沙土、盐化草甸土、沼泽土等。</w:t>
      </w:r>
    </w:p>
    <w:p>
      <w:pPr>
        <w:ind w:firstLine="560"/>
      </w:pPr>
      <w:r>
        <w:rPr>
          <w:rFonts w:hint="eastAsia"/>
        </w:rPr>
        <w:t>工程地质：洛浦县地处昆仑山麓、塔里木盆地西南，大的构造单元上位于塔里木地台－和田凸起中，构造不发育。仅在洛浦县成南部发育和田隐伏断层（F1），晚更新世以来仍有较强的活动性，属区域构造稳定性较差地区。</w:t>
      </w:r>
    </w:p>
    <w:p>
      <w:pPr>
        <w:pStyle w:val="3"/>
      </w:pPr>
      <w:bookmarkStart w:id="4" w:name="_Toc164082399"/>
      <w:r>
        <w:t>1.2</w:t>
      </w:r>
      <w:r>
        <w:rPr>
          <w:rFonts w:hint="eastAsia"/>
        </w:rPr>
        <w:t xml:space="preserve"> </w:t>
      </w:r>
      <w:r>
        <w:t>水资源及利用现状</w:t>
      </w:r>
      <w:bookmarkEnd w:id="4"/>
    </w:p>
    <w:p>
      <w:pPr>
        <w:ind w:firstLine="560"/>
      </w:pPr>
      <w:r>
        <w:rPr>
          <w:rFonts w:hint="eastAsia"/>
        </w:rPr>
        <w:t>说明全县水系分布、水资源数量、质量、可利用量。交待近三年历年分行业用水量与分工程类型供水量，分析水资源开发利用程度及地下水超采情况，分析近几年综合毛灌溉定额变化情况。</w:t>
      </w:r>
    </w:p>
    <w:p>
      <w:pPr>
        <w:pStyle w:val="3"/>
      </w:pPr>
      <w:bookmarkStart w:id="5" w:name="_Toc164082400"/>
      <w:r>
        <w:t>1.3</w:t>
      </w:r>
      <w:r>
        <w:rPr>
          <w:rFonts w:hint="eastAsia"/>
        </w:rPr>
        <w:t xml:space="preserve"> </w:t>
      </w:r>
      <w:r>
        <w:t>水利工程情况</w:t>
      </w:r>
      <w:bookmarkEnd w:id="5"/>
    </w:p>
    <w:p>
      <w:pPr>
        <w:ind w:firstLine="560"/>
      </w:pPr>
      <w:r>
        <w:rPr>
          <w:rFonts w:hint="eastAsia"/>
        </w:rPr>
        <w:t>洛浦县灌区是一个古老的灌区，从远自秦汉时期开始，经劳动人民数千年的开发，逐步形成了玉龙喀什河绿洲，解放前灌溉设施十分简陋，解放以来，特别是60年代以后，进行了大规模灌区改造，使灌区的面貌发生了根本的变化，形成了当前的灌区规模。改革开放以来，经过塔河项目和世行项目的建设，对灌区骨干工程进行了改造，形成了目前集引、输、灌、排为一体的统一完整的大型灌溉农区。</w:t>
      </w:r>
    </w:p>
    <w:p>
      <w:pPr>
        <w:ind w:firstLine="560"/>
      </w:pPr>
      <w:r>
        <w:rPr>
          <w:rFonts w:hint="eastAsia"/>
        </w:rPr>
        <w:t>据统计，目前玉龙喀什河灌区内总灌溉面积为125.23万亩，其中洛浦县总灌溉面积为78万亩，占玉龙喀什河总灌溉面积的42.86%。根据《新疆和田地区水资源综合利用规划》及现场调查，洛浦县水利工程现状如下：</w:t>
      </w:r>
    </w:p>
    <w:p>
      <w:pPr>
        <w:pStyle w:val="4"/>
      </w:pPr>
      <w:bookmarkStart w:id="6" w:name="_Toc164082401"/>
      <w:r>
        <w:rPr>
          <w:rFonts w:hint="eastAsia"/>
        </w:rPr>
        <w:t>1.3.1 引水工程</w:t>
      </w:r>
      <w:bookmarkEnd w:id="6"/>
    </w:p>
    <w:p>
      <w:pPr>
        <w:ind w:firstLine="560"/>
      </w:pPr>
      <w:r>
        <w:rPr>
          <w:rFonts w:hint="eastAsia"/>
        </w:rPr>
        <w:t>洛浦灌区引水是通过玉河渠首，进入洛浦总干渠，在总干渠末端设总闸口，控制洛浦东、西干渠，红旗干渠从洛浦东干渠二号闸引水。玉河渠首为悬板分层引水型式，属Ⅱ等大(2)型工程，其泄洪闸设计流量Q</w:t>
      </w:r>
      <w:r>
        <w:rPr>
          <w:rFonts w:hint="eastAsia"/>
          <w:vertAlign w:val="subscript"/>
        </w:rPr>
        <w:t>设</w:t>
      </w:r>
      <w:r>
        <w:rPr>
          <w:rFonts w:hint="eastAsia"/>
        </w:rPr>
        <w:t>=1820m</w:t>
      </w:r>
      <w:r>
        <w:rPr>
          <w:rFonts w:ascii="Calibri" w:hAnsi="Calibri" w:cs="Calibri"/>
        </w:rPr>
        <w:t>³</w:t>
      </w:r>
      <w:r>
        <w:rPr>
          <w:rFonts w:hint="eastAsia"/>
        </w:rPr>
        <w:t>/s(P=1%)，校核流量Q</w:t>
      </w:r>
      <w:r>
        <w:rPr>
          <w:rFonts w:hint="eastAsia"/>
          <w:vertAlign w:val="subscript"/>
        </w:rPr>
        <w:t>校</w:t>
      </w:r>
      <w:r>
        <w:rPr>
          <w:rFonts w:hint="eastAsia"/>
        </w:rPr>
        <w:t>=2210m</w:t>
      </w:r>
      <w:r>
        <w:rPr>
          <w:rFonts w:ascii="Calibri" w:hAnsi="Calibri" w:cs="Calibri"/>
        </w:rPr>
        <w:t>³</w:t>
      </w:r>
      <w:r>
        <w:rPr>
          <w:rFonts w:hint="eastAsia"/>
        </w:rPr>
        <w:t>/s(P=0.2%)。渠首东岸进水闸两孔，设计流量100m</w:t>
      </w:r>
      <w:r>
        <w:rPr>
          <w:rFonts w:ascii="Calibri" w:hAnsi="Calibri" w:cs="Calibri"/>
        </w:rPr>
        <w:t>³</w:t>
      </w:r>
      <w:r>
        <w:rPr>
          <w:rFonts w:hint="eastAsia"/>
        </w:rPr>
        <w:t>/s，加大流量120m</w:t>
      </w:r>
      <w:r>
        <w:rPr>
          <w:rFonts w:ascii="Calibri" w:hAnsi="Calibri" w:cs="Calibri"/>
        </w:rPr>
        <w:t>³</w:t>
      </w:r>
      <w:r>
        <w:rPr>
          <w:rFonts w:hint="eastAsia"/>
        </w:rPr>
        <w:t>/s，总干渠末瑞总闸口控制东、西干渠引水，其中东干渠引水设计流量58m</w:t>
      </w:r>
      <w:r>
        <w:rPr>
          <w:rFonts w:ascii="Calibri" w:hAnsi="Calibri" w:cs="Calibri"/>
        </w:rPr>
        <w:t>³</w:t>
      </w:r>
      <w:r>
        <w:rPr>
          <w:rFonts w:hint="eastAsia"/>
        </w:rPr>
        <w:t>/s，加大流量70m</w:t>
      </w:r>
      <w:r>
        <w:rPr>
          <w:rFonts w:ascii="Calibri" w:hAnsi="Calibri" w:cs="Calibri"/>
        </w:rPr>
        <w:t>³</w:t>
      </w:r>
      <w:r>
        <w:rPr>
          <w:rFonts w:hint="eastAsia"/>
        </w:rPr>
        <w:t>/s，西干渠引水设计流量42m</w:t>
      </w:r>
      <w:r>
        <w:rPr>
          <w:rFonts w:ascii="Calibri" w:hAnsi="Calibri" w:cs="Calibri"/>
        </w:rPr>
        <w:t>³</w:t>
      </w:r>
      <w:r>
        <w:rPr>
          <w:rFonts w:hint="eastAsia"/>
        </w:rPr>
        <w:t>/s，加大流量50m</w:t>
      </w:r>
      <w:r>
        <w:rPr>
          <w:rFonts w:ascii="Calibri" w:hAnsi="Calibri" w:cs="Calibri"/>
        </w:rPr>
        <w:t>³</w:t>
      </w:r>
      <w:r>
        <w:rPr>
          <w:rFonts w:hint="eastAsia"/>
        </w:rPr>
        <w:t>/s。</w:t>
      </w:r>
    </w:p>
    <w:p>
      <w:pPr>
        <w:pStyle w:val="4"/>
      </w:pPr>
      <w:bookmarkStart w:id="7" w:name="_Toc164082402"/>
      <w:r>
        <w:rPr>
          <w:rFonts w:hint="eastAsia"/>
        </w:rPr>
        <w:t>1.3.2 输水工程</w:t>
      </w:r>
      <w:bookmarkEnd w:id="7"/>
    </w:p>
    <w:p>
      <w:pPr>
        <w:ind w:firstLine="560"/>
      </w:pPr>
      <w:r>
        <w:rPr>
          <w:rFonts w:hint="eastAsia"/>
        </w:rPr>
        <w:t>洛浦县四级渠道共有4647条4840.4公里，已防渗总长1664.1公里。其中干渠47条388.2公里，已防渗338.1公里；支200条344公里，已防渗296.8公里，斗渠1800条1464.5公里，已防渗497.9公里；农渠2700条26438公里，已防渗531.3公里。水利工程配套建筑物共30281座。排水渠总长483.12公里，其中干排168公里，支排192.93公里，斗排107.11公里。</w:t>
      </w:r>
    </w:p>
    <w:p>
      <w:pPr>
        <w:ind w:firstLine="560"/>
      </w:pPr>
      <w:r>
        <w:rPr>
          <w:rFonts w:hint="eastAsia"/>
        </w:rPr>
        <w:t>主要输水干渠有：洛浦总干渠、洛浦东干渠、洛浦西干渠、恰尔巴格干渠、红旗干渠、杭桂干渠等。</w:t>
      </w:r>
    </w:p>
    <w:p>
      <w:pPr>
        <w:pStyle w:val="4"/>
      </w:pPr>
      <w:bookmarkStart w:id="8" w:name="_Toc164082403"/>
      <w:r>
        <w:rPr>
          <w:rFonts w:hint="eastAsia"/>
        </w:rPr>
        <w:t>1.3.3 蓄水工程</w:t>
      </w:r>
      <w:bookmarkEnd w:id="8"/>
    </w:p>
    <w:p>
      <w:pPr>
        <w:ind w:firstLine="560"/>
      </w:pPr>
      <w:r>
        <w:rPr>
          <w:rFonts w:hint="eastAsia"/>
        </w:rPr>
        <w:t>洛浦县现有2座水库：哈拉快力水库、布尔库木水库，设计库容分别为2300万m</w:t>
      </w:r>
      <w:r>
        <w:rPr>
          <w:rFonts w:ascii="Calibri" w:hAnsi="Calibri" w:cs="Calibri"/>
        </w:rPr>
        <w:t>³</w:t>
      </w:r>
      <w:r>
        <w:rPr>
          <w:rFonts w:hint="eastAsia"/>
        </w:rPr>
        <w:t>和150万m</w:t>
      </w:r>
      <w:r>
        <w:rPr>
          <w:rFonts w:ascii="Calibri" w:hAnsi="Calibri" w:cs="Calibri"/>
        </w:rPr>
        <w:t>³</w:t>
      </w:r>
      <w:r>
        <w:rPr>
          <w:rFonts w:hint="eastAsia"/>
        </w:rPr>
        <w:t>，春季可灌面积为8.5万亩，冬季可灌溉面积为6.5万亩。其中拉快力水库属中型水库，2008年除险加固工程已竣工验收。布尔库木水库属小型水库，目前除险加固已竣工。</w:t>
      </w:r>
    </w:p>
    <w:p>
      <w:pPr>
        <w:pStyle w:val="4"/>
      </w:pPr>
      <w:bookmarkStart w:id="9" w:name="_Toc164082404"/>
      <w:r>
        <w:rPr>
          <w:rFonts w:hint="eastAsia"/>
        </w:rPr>
        <w:t>1.3.4 地下水工程</w:t>
      </w:r>
      <w:bookmarkEnd w:id="9"/>
    </w:p>
    <w:p>
      <w:pPr>
        <w:ind w:firstLine="560"/>
      </w:pPr>
      <w:r>
        <w:rPr>
          <w:rFonts w:hint="eastAsia"/>
        </w:rPr>
        <w:t>为充分利用地下水资源，增加春、秋季节灌溉水量，降低地下水位，防止土壤次生盐碱化，流域内已建成了一批机电井工程。洛浦县有农用机井372眼，机井配套建筑物372座，分布灌区内部，架设线路198.6公里。建成恰尔巴格、吉亚、杭桂、英尔栏杆、布亚、玉龙喀什等6处水源地，共有2座开关站，3座变电所。此外，灌区内还有为数不少的手动泵井，主要解决农牧民饮水问题。</w:t>
      </w:r>
    </w:p>
    <w:p>
      <w:pPr>
        <w:ind w:firstLine="560"/>
      </w:pPr>
      <w:r>
        <w:t>洛浦县主要有六条河流，玉龙喀什河、阿其克河、欧吐拉克河、萨格河、库兰木勒克河、帕合塔里克河等</w:t>
      </w:r>
      <w:r>
        <w:rPr>
          <w:rFonts w:hint="eastAsia"/>
        </w:rPr>
        <w:t>。洛浦灌区目前有干渠22条，总长度373.7km，已安装计量测水设施53座，目前正常运行的量水设施有13座，各乡镇斗渠口量水设施114座，根据计量设施自动化要求，目前40座计量设施项目已完工，验收合格后调试使用。</w:t>
      </w:r>
    </w:p>
    <w:p>
      <w:pPr>
        <w:ind w:firstLine="560"/>
        <w:rPr>
          <w:color w:val="FF0000"/>
        </w:rPr>
      </w:pPr>
      <w:r>
        <w:rPr>
          <w:rFonts w:hint="eastAsia"/>
        </w:rPr>
        <w:t>供水计量是水价测算、水费计收、精准补贴和节水奖励的依据，也是形成末级渠系水价机制的基础。洛浦县有农用机井372眼，机井配套建筑物372座，分布灌区内部，架设线路198.6km。目前，洛浦县372</w:t>
      </w:r>
      <w:r>
        <w:t>眼机电井已完成</w:t>
      </w:r>
      <w:r>
        <w:rPr>
          <w:rFonts w:hint="eastAsia"/>
        </w:rPr>
        <w:t>100%的</w:t>
      </w:r>
      <w:r>
        <w:t>IC卡智能计量设施安装</w:t>
      </w:r>
      <w:r>
        <w:rPr>
          <w:rFonts w:hint="eastAsia"/>
        </w:rPr>
        <w:t>，已实现了地下水的准确计量。</w:t>
      </w:r>
    </w:p>
    <w:p>
      <w:pPr>
        <w:ind w:firstLine="560"/>
      </w:pPr>
      <w:r>
        <w:rPr>
          <w:rFonts w:hint="eastAsia"/>
        </w:rPr>
        <w:t>要求在2025年以前对末级计量点量测水设施实施配套改造，并配齐测流设备，为科学配水及精准测量提供支撑</w:t>
      </w:r>
    </w:p>
    <w:p>
      <w:pPr>
        <w:widowControl/>
        <w:spacing w:after="160" w:line="278" w:lineRule="auto"/>
        <w:ind w:firstLine="0" w:firstLineChars="0"/>
      </w:pPr>
      <w:r>
        <w:br w:type="page"/>
      </w:r>
    </w:p>
    <w:p>
      <w:pPr>
        <w:pStyle w:val="2"/>
      </w:pPr>
      <w:bookmarkStart w:id="10" w:name="_Toc164082405"/>
      <w:r>
        <w:t>2 灌溉用水定额编制工作情况</w:t>
      </w:r>
      <w:bookmarkEnd w:id="10"/>
    </w:p>
    <w:p>
      <w:pPr>
        <w:pStyle w:val="3"/>
      </w:pPr>
      <w:bookmarkStart w:id="11" w:name="_Toc164082406"/>
      <w:r>
        <w:t>2.1编制依据</w:t>
      </w:r>
      <w:bookmarkEnd w:id="11"/>
    </w:p>
    <w:p>
      <w:pPr>
        <w:pStyle w:val="4"/>
      </w:pPr>
      <w:bookmarkStart w:id="12" w:name="_Toc164082407"/>
      <w:r>
        <w:rPr>
          <w:rFonts w:hint="eastAsia"/>
        </w:rPr>
        <w:t>2.1.1 编制依据</w:t>
      </w:r>
      <w:bookmarkEnd w:id="12"/>
    </w:p>
    <w:p>
      <w:pPr>
        <w:ind w:firstLine="560"/>
      </w:pPr>
      <w:r>
        <w:rPr>
          <w:rFonts w:hint="eastAsia"/>
        </w:rPr>
        <w:t>（1）《中华人民共和国水法》</w:t>
      </w:r>
    </w:p>
    <w:p>
      <w:pPr>
        <w:ind w:firstLine="560"/>
      </w:pPr>
      <w:r>
        <w:rPr>
          <w:rFonts w:hint="eastAsia"/>
        </w:rPr>
        <w:t>（2）《取水许可和水资源费征收和管理条例》（中华人民共和国国务院令第460号）</w:t>
      </w:r>
    </w:p>
    <w:p>
      <w:pPr>
        <w:ind w:firstLine="560"/>
      </w:pPr>
      <w:r>
        <w:rPr>
          <w:rFonts w:hint="eastAsia"/>
        </w:rPr>
        <w:t>（3）《关于加强用水定额编制和管理的通知》（水利部水资源[999]519号）</w:t>
      </w:r>
    </w:p>
    <w:p>
      <w:pPr>
        <w:ind w:firstLine="560"/>
      </w:pPr>
      <w:r>
        <w:rPr>
          <w:rFonts w:hint="eastAsia"/>
        </w:rPr>
        <w:t>（4）《和田河流域综合规划》</w:t>
      </w:r>
    </w:p>
    <w:p>
      <w:pPr>
        <w:ind w:firstLine="560"/>
      </w:pPr>
      <w:r>
        <w:rPr>
          <w:rFonts w:hint="eastAsia"/>
        </w:rPr>
        <w:t>（5）《新疆维吾尔自治区和田地区和田河大型灌区续建配套与节水改造工程规划报告》</w:t>
      </w:r>
    </w:p>
    <w:p>
      <w:pPr>
        <w:ind w:firstLine="560"/>
      </w:pPr>
      <w:r>
        <w:rPr>
          <w:rFonts w:hint="eastAsia"/>
        </w:rPr>
        <w:t>（6）《新疆和田地区和田河大型灌区续建配套与节水改造工程总体实施方案报告》</w:t>
      </w:r>
    </w:p>
    <w:p>
      <w:pPr>
        <w:ind w:firstLine="560"/>
      </w:pPr>
      <w:r>
        <w:rPr>
          <w:rFonts w:hint="eastAsia"/>
        </w:rPr>
        <w:t>（7）《新疆洛浦县农田水利综合规划报告》</w:t>
      </w:r>
    </w:p>
    <w:p>
      <w:pPr>
        <w:ind w:firstLine="560"/>
      </w:pPr>
      <w:r>
        <w:rPr>
          <w:rFonts w:hint="eastAsia"/>
        </w:rPr>
        <w:t>（8）《新疆维吾尔自治区和田河续建配套与节水改造项目(第一期)总体可行性研究报告》</w:t>
      </w:r>
    </w:p>
    <w:p>
      <w:pPr>
        <w:ind w:firstLine="560"/>
      </w:pPr>
      <w:r>
        <w:rPr>
          <w:rFonts w:hint="eastAsia"/>
        </w:rPr>
        <w:t>（9）《新疆和田地区水资源综合利用规划》</w:t>
      </w:r>
    </w:p>
    <w:p>
      <w:pPr>
        <w:ind w:firstLine="560"/>
      </w:pPr>
      <w:r>
        <w:rPr>
          <w:rFonts w:hint="eastAsia"/>
        </w:rPr>
        <w:t>（10）《关于和田地区各县市级兵团第十四师实行最严格水资源管理制度、落实“三条红线”控制指标的复核意见》</w:t>
      </w:r>
    </w:p>
    <w:p>
      <w:pPr>
        <w:pStyle w:val="4"/>
      </w:pPr>
      <w:bookmarkStart w:id="13" w:name="_Toc164082408"/>
      <w:r>
        <w:rPr>
          <w:rFonts w:hint="eastAsia"/>
        </w:rPr>
        <w:t>2.1.2 编制标准</w:t>
      </w:r>
      <w:bookmarkEnd w:id="13"/>
    </w:p>
    <w:p>
      <w:pPr>
        <w:ind w:firstLine="560"/>
      </w:pPr>
      <w:r>
        <w:rPr>
          <w:rFonts w:hint="eastAsia"/>
        </w:rPr>
        <w:t>（1）《节水灌溉技术规范》（SL207-98）</w:t>
      </w:r>
    </w:p>
    <w:p>
      <w:pPr>
        <w:ind w:firstLine="560"/>
      </w:pPr>
      <w:r>
        <w:rPr>
          <w:rFonts w:hint="eastAsia"/>
        </w:rPr>
        <w:t>（2）《农田灌溉水质标准》（GB5084-92）</w:t>
      </w:r>
    </w:p>
    <w:p>
      <w:pPr>
        <w:ind w:firstLine="560"/>
      </w:pPr>
      <w:r>
        <w:rPr>
          <w:rFonts w:hint="eastAsia"/>
        </w:rPr>
        <w:t>（3）《灌溉试验规范》（SL13-2004）</w:t>
      </w:r>
    </w:p>
    <w:p>
      <w:pPr>
        <w:ind w:firstLine="560"/>
      </w:pPr>
      <w:r>
        <w:rPr>
          <w:rFonts w:hint="eastAsia"/>
        </w:rPr>
        <w:t>（4）《灌溉与排水工程设计规范》（GB50288-99）</w:t>
      </w:r>
    </w:p>
    <w:p>
      <w:pPr>
        <w:ind w:firstLine="560"/>
      </w:pPr>
      <w:r>
        <w:rPr>
          <w:rFonts w:hint="eastAsia"/>
        </w:rPr>
        <w:t>（5）《灌溉用水定额编制导则》（GB/T 29404-2012）</w:t>
      </w:r>
    </w:p>
    <w:p>
      <w:pPr>
        <w:ind w:firstLine="560"/>
      </w:pPr>
      <w:r>
        <w:rPr>
          <w:rFonts w:hint="eastAsia"/>
        </w:rPr>
        <w:t>（6）</w:t>
      </w:r>
      <w:bookmarkStart w:id="14" w:name="_Hlk164081312"/>
      <w:r>
        <w:rPr>
          <w:rFonts w:hint="eastAsia"/>
        </w:rPr>
        <w:t>《新疆维吾尔自治区农业用水定额》（新水厅【2023】67号）</w:t>
      </w:r>
      <w:bookmarkEnd w:id="14"/>
    </w:p>
    <w:p>
      <w:pPr>
        <w:ind w:firstLine="560"/>
      </w:pPr>
      <w:r>
        <w:t>（</w:t>
      </w:r>
      <w:r>
        <w:rPr>
          <w:rFonts w:hint="eastAsia"/>
        </w:rPr>
        <w:t>7</w:t>
      </w:r>
      <w:r>
        <w:t>）《全国灌溉用水有效利用系数技术指南》</w:t>
      </w:r>
    </w:p>
    <w:p>
      <w:pPr>
        <w:ind w:firstLine="560"/>
      </w:pPr>
      <w:r>
        <w:t>（</w:t>
      </w:r>
      <w:r>
        <w:rPr>
          <w:rFonts w:hint="eastAsia"/>
        </w:rPr>
        <w:t>9</w:t>
      </w:r>
      <w:r>
        <w:t>）《关于进一步做好农业灌溉用水有效利用系数测算分析工作的通知》</w:t>
      </w:r>
    </w:p>
    <w:p>
      <w:pPr>
        <w:pStyle w:val="3"/>
      </w:pPr>
      <w:bookmarkStart w:id="15" w:name="_Toc164082409"/>
      <w:r>
        <w:t>2.2</w:t>
      </w:r>
      <w:r>
        <w:rPr>
          <w:rFonts w:hint="eastAsia"/>
        </w:rPr>
        <w:t xml:space="preserve"> </w:t>
      </w:r>
      <w:r>
        <w:t>编制原则</w:t>
      </w:r>
      <w:bookmarkEnd w:id="15"/>
    </w:p>
    <w:p>
      <w:pPr>
        <w:ind w:firstLine="560"/>
      </w:pPr>
      <w:r>
        <w:rPr>
          <w:rFonts w:hint="eastAsia"/>
        </w:rPr>
        <w:t>（1）先进性与合理性、可行性相结合的原则</w:t>
      </w:r>
    </w:p>
    <w:p>
      <w:pPr>
        <w:ind w:firstLine="560"/>
      </w:pPr>
      <w:r>
        <w:rPr>
          <w:rFonts w:hint="eastAsia"/>
        </w:rPr>
        <w:t>定额水平应具有一定的先进性，这是定额本身的特性所决定的，也是促进节约用水，建设节水型社会的需要。但我区农业经济和用水方式比较落后，过高的定额水平不利于其贯彻执行，不利于定额目标落到实处。因此农业灌溉定额的确定必须从实际出发，兼顾先进、合理、可行三者之间的关系。</w:t>
      </w:r>
    </w:p>
    <w:p>
      <w:pPr>
        <w:ind w:firstLine="560"/>
      </w:pPr>
      <w:r>
        <w:rPr>
          <w:rFonts w:hint="eastAsia"/>
        </w:rPr>
        <w:t>（2）突出重点的原则</w:t>
      </w:r>
    </w:p>
    <w:p>
      <w:pPr>
        <w:ind w:firstLine="560"/>
      </w:pPr>
      <w:r>
        <w:rPr>
          <w:rFonts w:hint="eastAsia"/>
        </w:rPr>
        <w:t>要全面准确拟定各类作物农业用水定额比较困难，根据当前的实际情况，对小麦、玉米和一些主要种植区域的优势特色作物灌溉定额制定的相对全面和准确。</w:t>
      </w:r>
    </w:p>
    <w:p>
      <w:pPr>
        <w:ind w:firstLine="560"/>
      </w:pPr>
      <w:r>
        <w:rPr>
          <w:rFonts w:hint="eastAsia"/>
        </w:rPr>
        <w:t>（3）因地制宜和逐步完善的原则</w:t>
      </w:r>
    </w:p>
    <w:p>
      <w:pPr>
        <w:ind w:firstLine="560"/>
      </w:pPr>
      <w:r>
        <w:rPr>
          <w:rFonts w:hint="eastAsia"/>
        </w:rPr>
        <w:t>根据当前的实际情况，采取由浅入深、由粗到细、先试行后修订、逐步完善的办法，来确定农业用水定额。</w:t>
      </w:r>
    </w:p>
    <w:p>
      <w:pPr>
        <w:ind w:firstLine="560"/>
      </w:pPr>
      <w:r>
        <w:rPr>
          <w:rFonts w:hint="eastAsia"/>
        </w:rPr>
        <w:t>（4）动态调整的原则</w:t>
      </w:r>
    </w:p>
    <w:p>
      <w:pPr>
        <w:ind w:firstLine="560"/>
      </w:pPr>
      <w:r>
        <w:rPr>
          <w:rFonts w:hint="eastAsia"/>
        </w:rPr>
        <w:t>农业用水定额是在一定生产条件、一定时间下制定的，它与具体的生产技术条件、用水条件相关联。要根据农村经济发展的状况、水资源条件及灌溉管理水平、农业生产技术进步等情况，适时调整农业用水定额指标值。</w:t>
      </w:r>
    </w:p>
    <w:p>
      <w:pPr>
        <w:pStyle w:val="3"/>
      </w:pPr>
      <w:bookmarkStart w:id="16" w:name="_Toc164082410"/>
      <w:r>
        <w:t>2.3 工作开展情况</w:t>
      </w:r>
      <w:bookmarkEnd w:id="16"/>
    </w:p>
    <w:p>
      <w:pPr>
        <w:ind w:firstLine="560"/>
        <w:rPr>
          <w:rFonts w:eastAsia="仿宋_GB2312"/>
          <w:szCs w:val="28"/>
        </w:rPr>
      </w:pPr>
      <w:r>
        <w:rPr>
          <w:rFonts w:eastAsia="仿宋_GB2312"/>
          <w:szCs w:val="28"/>
        </w:rPr>
        <w:t>根据</w:t>
      </w:r>
      <w:r>
        <w:rPr>
          <w:rFonts w:hint="eastAsia" w:eastAsia="仿宋_GB2312"/>
          <w:szCs w:val="28"/>
        </w:rPr>
        <w:t>自治区</w:t>
      </w:r>
      <w:r>
        <w:rPr>
          <w:rFonts w:eastAsia="仿宋_GB2312"/>
          <w:szCs w:val="28"/>
        </w:rPr>
        <w:t>农田灌溉用水定额测算有关文件及要求，为了切实加强对</w:t>
      </w:r>
      <w:r>
        <w:rPr>
          <w:rFonts w:hint="eastAsia" w:eastAsia="仿宋_GB2312"/>
          <w:szCs w:val="28"/>
        </w:rPr>
        <w:t>第</w:t>
      </w:r>
      <w:r>
        <w:rPr>
          <w:rFonts w:eastAsia="仿宋_GB2312"/>
          <w:szCs w:val="28"/>
        </w:rPr>
        <w:t>20</w:t>
      </w:r>
      <w:r>
        <w:rPr>
          <w:rFonts w:hint="eastAsia" w:eastAsia="仿宋_GB2312"/>
          <w:szCs w:val="28"/>
        </w:rPr>
        <w:t>24</w:t>
      </w:r>
      <w:r>
        <w:rPr>
          <w:rFonts w:eastAsia="仿宋_GB2312"/>
          <w:szCs w:val="28"/>
        </w:rPr>
        <w:t>年农田灌溉用水定额测算工作的落实和实施，成立了20</w:t>
      </w:r>
      <w:r>
        <w:rPr>
          <w:rFonts w:hint="eastAsia" w:eastAsia="仿宋_GB2312"/>
          <w:szCs w:val="28"/>
        </w:rPr>
        <w:t>24</w:t>
      </w:r>
      <w:r>
        <w:rPr>
          <w:rFonts w:eastAsia="仿宋_GB2312"/>
          <w:szCs w:val="28"/>
        </w:rPr>
        <w:t>年农田灌溉用水定额测算分析领导机构</w:t>
      </w:r>
      <w:r>
        <w:rPr>
          <w:rFonts w:hint="eastAsia" w:eastAsia="仿宋_GB2312"/>
          <w:szCs w:val="28"/>
        </w:rPr>
        <w:t>。</w:t>
      </w:r>
      <w:r>
        <w:rPr>
          <w:rFonts w:eastAsia="仿宋_GB2312"/>
          <w:szCs w:val="28"/>
        </w:rPr>
        <w:t>为了保障测算工作的顺利进行形成以</w:t>
      </w:r>
      <w:bookmarkStart w:id="17" w:name="_Hlk163463463"/>
      <w:r>
        <w:rPr>
          <w:rFonts w:hint="eastAsia" w:eastAsia="仿宋_GB2312"/>
          <w:szCs w:val="28"/>
        </w:rPr>
        <w:t>中城恒业设计集团有限公司</w:t>
      </w:r>
      <w:bookmarkEnd w:id="17"/>
      <w:r>
        <w:rPr>
          <w:rFonts w:eastAsia="仿宋_GB2312"/>
          <w:szCs w:val="28"/>
        </w:rPr>
        <w:t>为主要技术力量的技术工作小组。</w:t>
      </w:r>
      <w:r>
        <w:rPr>
          <w:rFonts w:hint="eastAsia" w:eastAsia="仿宋_GB2312"/>
          <w:szCs w:val="28"/>
        </w:rPr>
        <w:t>最终</w:t>
      </w:r>
      <w:r>
        <w:rPr>
          <w:rFonts w:eastAsia="仿宋_GB2312"/>
          <w:szCs w:val="28"/>
        </w:rPr>
        <w:t>形成以</w:t>
      </w:r>
      <w:bookmarkStart w:id="18" w:name="_Hlk163463655"/>
      <w:r>
        <w:rPr>
          <w:rFonts w:hint="eastAsia" w:eastAsia="仿宋_GB2312"/>
          <w:szCs w:val="28"/>
        </w:rPr>
        <w:t>洛浦</w:t>
      </w:r>
      <w:r>
        <w:rPr>
          <w:rFonts w:eastAsia="仿宋_GB2312"/>
          <w:szCs w:val="28"/>
        </w:rPr>
        <w:t>水利局</w:t>
      </w:r>
      <w:bookmarkEnd w:id="18"/>
      <w:r>
        <w:rPr>
          <w:rFonts w:eastAsia="仿宋_GB2312"/>
          <w:szCs w:val="28"/>
        </w:rPr>
        <w:t>为主管单位</w:t>
      </w:r>
      <w:r>
        <w:rPr>
          <w:rFonts w:hint="eastAsia" w:eastAsia="仿宋_GB2312"/>
          <w:szCs w:val="28"/>
        </w:rPr>
        <w:t>、</w:t>
      </w:r>
      <w:bookmarkStart w:id="19" w:name="_Hlk163463680"/>
      <w:r>
        <w:rPr>
          <w:rFonts w:hint="eastAsia" w:eastAsia="仿宋_GB2312"/>
          <w:szCs w:val="28"/>
        </w:rPr>
        <w:t>中城恒业设计集团有限公司</w:t>
      </w:r>
      <w:bookmarkEnd w:id="19"/>
      <w:r>
        <w:rPr>
          <w:rFonts w:eastAsia="仿宋_GB2312"/>
          <w:szCs w:val="28"/>
        </w:rPr>
        <w:t>为技术支撑单位</w:t>
      </w:r>
      <w:r>
        <w:rPr>
          <w:rFonts w:hint="eastAsia" w:eastAsia="仿宋_GB2312"/>
          <w:szCs w:val="28"/>
        </w:rPr>
        <w:t>，洛浦县灌溉用水服务中心</w:t>
      </w:r>
      <w:r>
        <w:rPr>
          <w:rFonts w:eastAsia="仿宋_GB2312"/>
          <w:szCs w:val="28"/>
        </w:rPr>
        <w:t>为依托的组织领导机构。</w:t>
      </w:r>
      <w:r>
        <w:rPr>
          <w:rFonts w:hint="eastAsia" w:eastAsia="仿宋_GB2312"/>
          <w:szCs w:val="28"/>
        </w:rPr>
        <w:t>洛浦水利局</w:t>
      </w:r>
      <w:r>
        <w:rPr>
          <w:rFonts w:eastAsia="仿宋_GB2312"/>
          <w:szCs w:val="28"/>
        </w:rPr>
        <w:t>水利局对年度工作任务进行安排部署，</w:t>
      </w:r>
      <w:r>
        <w:rPr>
          <w:rFonts w:hint="eastAsia" w:eastAsia="仿宋_GB2312"/>
          <w:szCs w:val="28"/>
        </w:rPr>
        <w:t>中城恒业设计集团有限公司</w:t>
      </w:r>
      <w:r>
        <w:rPr>
          <w:rFonts w:eastAsia="仿宋_GB2312"/>
          <w:szCs w:val="28"/>
        </w:rPr>
        <w:t>对各单位技术人员进行业务培训和指导。</w:t>
      </w:r>
      <w:r>
        <w:rPr>
          <w:rFonts w:hint="eastAsia" w:eastAsia="仿宋_GB2312"/>
          <w:szCs w:val="28"/>
        </w:rPr>
        <w:t>洛浦县</w:t>
      </w:r>
      <w:r>
        <w:rPr>
          <w:rFonts w:eastAsia="仿宋_GB2312"/>
          <w:szCs w:val="28"/>
        </w:rPr>
        <w:t>水利局负责工作的实施、阶段工作监督检查和成果上报工作，</w:t>
      </w:r>
      <w:r>
        <w:rPr>
          <w:rFonts w:hint="eastAsia" w:eastAsia="仿宋_GB2312"/>
          <w:szCs w:val="28"/>
        </w:rPr>
        <w:t>中城恒业设计集团有限公司</w:t>
      </w:r>
      <w:r>
        <w:rPr>
          <w:rFonts w:eastAsia="仿宋_GB2312"/>
          <w:szCs w:val="28"/>
        </w:rPr>
        <w:t>负责典型观测点的选取、观测数据的采集和成果测算工作。测算工作成员分工如</w:t>
      </w:r>
      <w:r>
        <w:rPr>
          <w:rFonts w:hint="eastAsia" w:eastAsia="仿宋_GB2312"/>
          <w:szCs w:val="28"/>
        </w:rPr>
        <w:t>表2.1所示。</w:t>
      </w:r>
    </w:p>
    <w:p>
      <w:pPr>
        <w:widowControl/>
        <w:spacing w:after="160" w:line="278" w:lineRule="auto"/>
        <w:ind w:firstLine="0" w:firstLineChars="0"/>
      </w:pPr>
      <w:r>
        <w:br w:type="page"/>
      </w:r>
    </w:p>
    <w:p>
      <w:pPr>
        <w:pStyle w:val="22"/>
      </w:pPr>
      <w:r>
        <w:rPr>
          <w:rFonts w:hint="eastAsia"/>
        </w:rPr>
        <w:t>表2.1  2024年洛浦县农田灌溉水有效利用系数测算工作职责分工表</w:t>
      </w:r>
    </w:p>
    <w:tbl>
      <w:tblPr>
        <w:tblStyle w:val="13"/>
        <w:tblpPr w:leftFromText="180" w:rightFromText="180" w:vertAnchor="text" w:tblpXSpec="center" w:tblpY="1"/>
        <w:tblOverlap w:val="never"/>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36"/>
        <w:gridCol w:w="1268"/>
        <w:gridCol w:w="46"/>
        <w:gridCol w:w="1258"/>
        <w:gridCol w:w="62"/>
        <w:gridCol w:w="4304"/>
      </w:tblGrid>
      <w:tr>
        <w:tblPrEx>
          <w:tblCellMar>
            <w:top w:w="0" w:type="dxa"/>
            <w:left w:w="108" w:type="dxa"/>
            <w:bottom w:w="0" w:type="dxa"/>
            <w:right w:w="108" w:type="dxa"/>
          </w:tblCellMar>
        </w:tblPrEx>
        <w:trPr>
          <w:trHeight w:val="20" w:hRule="atLeast"/>
        </w:trPr>
        <w:tc>
          <w:tcPr>
            <w:tcW w:w="8642" w:type="dxa"/>
            <w:gridSpan w:val="7"/>
            <w:noWrap/>
          </w:tcPr>
          <w:p>
            <w:pPr>
              <w:pStyle w:val="23"/>
            </w:pPr>
            <w:r>
              <w:t>主管部门人员职责分工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04" w:type="dxa"/>
            <w:gridSpan w:val="2"/>
            <w:noWrap/>
            <w:vAlign w:val="center"/>
          </w:tcPr>
          <w:p>
            <w:pPr>
              <w:pStyle w:val="23"/>
            </w:pPr>
            <w:r>
              <w:t>负责人员</w:t>
            </w:r>
          </w:p>
        </w:tc>
        <w:tc>
          <w:tcPr>
            <w:tcW w:w="1314" w:type="dxa"/>
            <w:gridSpan w:val="2"/>
            <w:noWrap/>
            <w:vAlign w:val="center"/>
          </w:tcPr>
          <w:p>
            <w:pPr>
              <w:pStyle w:val="23"/>
            </w:pPr>
            <w:r>
              <w:t>姓名</w:t>
            </w:r>
          </w:p>
        </w:tc>
        <w:tc>
          <w:tcPr>
            <w:tcW w:w="1320" w:type="dxa"/>
            <w:gridSpan w:val="2"/>
            <w:noWrap/>
            <w:vAlign w:val="center"/>
          </w:tcPr>
          <w:p>
            <w:pPr>
              <w:pStyle w:val="23"/>
            </w:pPr>
            <w:r>
              <w:t>职务/职称</w:t>
            </w:r>
          </w:p>
        </w:tc>
        <w:tc>
          <w:tcPr>
            <w:tcW w:w="4304" w:type="dxa"/>
            <w:noWrap/>
            <w:vAlign w:val="center"/>
          </w:tcPr>
          <w:p>
            <w:pPr>
              <w:pStyle w:val="23"/>
            </w:pPr>
            <w:r>
              <w:t>职责分工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04" w:type="dxa"/>
            <w:gridSpan w:val="2"/>
            <w:noWrap/>
            <w:vAlign w:val="center"/>
          </w:tcPr>
          <w:p>
            <w:pPr>
              <w:pStyle w:val="23"/>
            </w:pPr>
            <w:r>
              <w:t>主管</w:t>
            </w:r>
            <w:r>
              <w:rPr>
                <w:rFonts w:hint="eastAsia"/>
              </w:rPr>
              <w:t>领导</w:t>
            </w:r>
          </w:p>
        </w:tc>
        <w:tc>
          <w:tcPr>
            <w:tcW w:w="1314" w:type="dxa"/>
            <w:gridSpan w:val="2"/>
            <w:noWrap/>
            <w:vAlign w:val="center"/>
          </w:tcPr>
          <w:p>
            <w:pPr>
              <w:pStyle w:val="23"/>
            </w:pPr>
            <w:r>
              <w:rPr>
                <w:rFonts w:hint="eastAsia"/>
              </w:rPr>
              <w:t>罗志</w:t>
            </w:r>
          </w:p>
        </w:tc>
        <w:tc>
          <w:tcPr>
            <w:tcW w:w="1320" w:type="dxa"/>
            <w:gridSpan w:val="2"/>
            <w:noWrap/>
            <w:vAlign w:val="center"/>
          </w:tcPr>
          <w:p>
            <w:pPr>
              <w:pStyle w:val="23"/>
            </w:pPr>
            <w:r>
              <w:t>局长</w:t>
            </w:r>
          </w:p>
        </w:tc>
        <w:tc>
          <w:tcPr>
            <w:tcW w:w="4304" w:type="dxa"/>
            <w:noWrap/>
            <w:vAlign w:val="center"/>
          </w:tcPr>
          <w:p>
            <w:pPr>
              <w:pStyle w:val="23"/>
            </w:pPr>
            <w:r>
              <w:t>主抓全局，统筹安排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04" w:type="dxa"/>
            <w:gridSpan w:val="2"/>
            <w:noWrap/>
            <w:vAlign w:val="center"/>
          </w:tcPr>
          <w:p>
            <w:pPr>
              <w:pStyle w:val="23"/>
            </w:pPr>
            <w:r>
              <w:t>单位责任人</w:t>
            </w:r>
          </w:p>
        </w:tc>
        <w:tc>
          <w:tcPr>
            <w:tcW w:w="1314" w:type="dxa"/>
            <w:gridSpan w:val="2"/>
            <w:noWrap/>
            <w:vAlign w:val="center"/>
          </w:tcPr>
          <w:p>
            <w:pPr>
              <w:pStyle w:val="23"/>
            </w:pPr>
          </w:p>
        </w:tc>
        <w:tc>
          <w:tcPr>
            <w:tcW w:w="1320" w:type="dxa"/>
            <w:gridSpan w:val="2"/>
            <w:noWrap/>
            <w:vAlign w:val="center"/>
          </w:tcPr>
          <w:p>
            <w:pPr>
              <w:pStyle w:val="23"/>
            </w:pPr>
            <w:r>
              <w:rPr>
                <w:rFonts w:hint="eastAsia"/>
              </w:rPr>
              <w:t>站长</w:t>
            </w:r>
          </w:p>
        </w:tc>
        <w:tc>
          <w:tcPr>
            <w:tcW w:w="4304" w:type="dxa"/>
            <w:noWrap/>
            <w:vAlign w:val="center"/>
          </w:tcPr>
          <w:p>
            <w:pPr>
              <w:pStyle w:val="23"/>
            </w:pPr>
            <w:r>
              <w:t>督促测算工作实施，协调测算各单位和人员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04" w:type="dxa"/>
            <w:gridSpan w:val="2"/>
            <w:noWrap/>
            <w:vAlign w:val="center"/>
          </w:tcPr>
          <w:p>
            <w:pPr>
              <w:pStyle w:val="23"/>
            </w:pPr>
            <w:r>
              <w:t>组织单位</w:t>
            </w:r>
          </w:p>
        </w:tc>
        <w:tc>
          <w:tcPr>
            <w:tcW w:w="1314" w:type="dxa"/>
            <w:gridSpan w:val="2"/>
            <w:noWrap/>
            <w:vAlign w:val="center"/>
          </w:tcPr>
          <w:p>
            <w:pPr>
              <w:pStyle w:val="23"/>
            </w:pPr>
            <w:r>
              <w:rPr>
                <w:rFonts w:hint="eastAsia"/>
              </w:rPr>
              <w:t>聂红宝</w:t>
            </w:r>
          </w:p>
        </w:tc>
        <w:tc>
          <w:tcPr>
            <w:tcW w:w="1320" w:type="dxa"/>
            <w:gridSpan w:val="2"/>
            <w:noWrap/>
            <w:vAlign w:val="center"/>
          </w:tcPr>
          <w:p>
            <w:pPr>
              <w:pStyle w:val="23"/>
            </w:pPr>
          </w:p>
        </w:tc>
        <w:tc>
          <w:tcPr>
            <w:tcW w:w="4304" w:type="dxa"/>
            <w:noWrap/>
            <w:vAlign w:val="center"/>
          </w:tcPr>
          <w:p>
            <w:pPr>
              <w:pStyle w:val="2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04" w:type="dxa"/>
            <w:gridSpan w:val="2"/>
            <w:noWrap/>
            <w:vAlign w:val="center"/>
          </w:tcPr>
          <w:p>
            <w:pPr>
              <w:pStyle w:val="23"/>
            </w:pPr>
            <w:r>
              <w:t>组织单位</w:t>
            </w:r>
          </w:p>
        </w:tc>
        <w:tc>
          <w:tcPr>
            <w:tcW w:w="1314" w:type="dxa"/>
            <w:gridSpan w:val="2"/>
            <w:noWrap/>
            <w:vAlign w:val="center"/>
          </w:tcPr>
          <w:p>
            <w:pPr>
              <w:pStyle w:val="23"/>
              <w:rPr>
                <w:rFonts w:hint="eastAsia" w:eastAsia="仿宋"/>
                <w:lang w:eastAsia="zh-CN"/>
              </w:rPr>
            </w:pPr>
            <w:r>
              <w:rPr>
                <w:rFonts w:hint="eastAsia"/>
                <w:lang w:eastAsia="zh-CN"/>
              </w:rPr>
              <w:t>王彬</w:t>
            </w:r>
          </w:p>
        </w:tc>
        <w:tc>
          <w:tcPr>
            <w:tcW w:w="1320" w:type="dxa"/>
            <w:gridSpan w:val="2"/>
            <w:noWrap/>
            <w:vAlign w:val="center"/>
          </w:tcPr>
          <w:p>
            <w:pPr>
              <w:pStyle w:val="23"/>
            </w:pPr>
          </w:p>
        </w:tc>
        <w:tc>
          <w:tcPr>
            <w:tcW w:w="4304" w:type="dxa"/>
            <w:noWrap/>
            <w:vAlign w:val="center"/>
          </w:tcPr>
          <w:p>
            <w:pPr>
              <w:pStyle w:val="2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642" w:type="dxa"/>
            <w:gridSpan w:val="7"/>
            <w:noWrap/>
            <w:vAlign w:val="center"/>
          </w:tcPr>
          <w:p>
            <w:pPr>
              <w:pStyle w:val="23"/>
            </w:pPr>
            <w:r>
              <w:t>技术支撑单位人员职责分工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668" w:type="dxa"/>
            <w:noWrap/>
            <w:vAlign w:val="center"/>
          </w:tcPr>
          <w:p>
            <w:pPr>
              <w:pStyle w:val="23"/>
            </w:pPr>
            <w:bookmarkStart w:id="20" w:name="_Hlk163469525"/>
            <w:r>
              <w:rPr>
                <w:rFonts w:hint="eastAsia"/>
              </w:rPr>
              <w:t>技术负责人</w:t>
            </w:r>
          </w:p>
        </w:tc>
        <w:tc>
          <w:tcPr>
            <w:tcW w:w="1304" w:type="dxa"/>
            <w:gridSpan w:val="2"/>
            <w:noWrap/>
            <w:vAlign w:val="center"/>
          </w:tcPr>
          <w:p>
            <w:pPr>
              <w:pStyle w:val="23"/>
            </w:pPr>
            <w:r>
              <w:rPr>
                <w:rFonts w:hint="eastAsia"/>
              </w:rPr>
              <w:t>陈博</w:t>
            </w:r>
          </w:p>
        </w:tc>
        <w:tc>
          <w:tcPr>
            <w:tcW w:w="1304" w:type="dxa"/>
            <w:gridSpan w:val="2"/>
            <w:noWrap/>
            <w:vAlign w:val="center"/>
          </w:tcPr>
          <w:p>
            <w:pPr>
              <w:pStyle w:val="23"/>
            </w:pPr>
            <w:r>
              <w:t>副高</w:t>
            </w:r>
          </w:p>
        </w:tc>
        <w:tc>
          <w:tcPr>
            <w:tcW w:w="4366" w:type="dxa"/>
            <w:gridSpan w:val="2"/>
            <w:noWrap/>
            <w:vAlign w:val="center"/>
          </w:tcPr>
          <w:p>
            <w:pPr>
              <w:pStyle w:val="23"/>
            </w:pPr>
            <w:r>
              <w:t>负责技术支撑单位与主管单位直接沟通协调，审核测算分析报告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668" w:type="dxa"/>
            <w:noWrap/>
            <w:vAlign w:val="center"/>
          </w:tcPr>
          <w:p>
            <w:pPr>
              <w:pStyle w:val="23"/>
            </w:pPr>
            <w:r>
              <w:rPr>
                <w:rFonts w:hint="eastAsia"/>
              </w:rPr>
              <w:t>主要技术人员</w:t>
            </w:r>
          </w:p>
        </w:tc>
        <w:tc>
          <w:tcPr>
            <w:tcW w:w="1304" w:type="dxa"/>
            <w:gridSpan w:val="2"/>
            <w:noWrap/>
            <w:vAlign w:val="center"/>
          </w:tcPr>
          <w:p>
            <w:pPr>
              <w:pStyle w:val="23"/>
            </w:pPr>
            <w:r>
              <w:rPr>
                <w:rFonts w:hint="eastAsia"/>
              </w:rPr>
              <w:t>刘庆山</w:t>
            </w:r>
          </w:p>
        </w:tc>
        <w:tc>
          <w:tcPr>
            <w:tcW w:w="1304" w:type="dxa"/>
            <w:gridSpan w:val="2"/>
            <w:noWrap/>
          </w:tcPr>
          <w:p>
            <w:pPr>
              <w:pStyle w:val="23"/>
            </w:pPr>
            <w:r>
              <w:rPr>
                <w:rFonts w:hint="eastAsia"/>
              </w:rPr>
              <w:t>副高</w:t>
            </w:r>
          </w:p>
        </w:tc>
        <w:tc>
          <w:tcPr>
            <w:tcW w:w="4366" w:type="dxa"/>
            <w:gridSpan w:val="2"/>
            <w:noWrap/>
            <w:vAlign w:val="center"/>
          </w:tcPr>
          <w:p>
            <w:pPr>
              <w:pStyle w:val="23"/>
            </w:pPr>
            <w:r>
              <w:t>测算报告</w:t>
            </w:r>
            <w:r>
              <w:rPr>
                <w:rFonts w:hint="eastAsia"/>
              </w:rPr>
              <w:t>编写指导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668" w:type="dxa"/>
            <w:noWrap/>
            <w:vAlign w:val="center"/>
          </w:tcPr>
          <w:p>
            <w:pPr>
              <w:pStyle w:val="23"/>
            </w:pPr>
            <w:r>
              <w:rPr>
                <w:rFonts w:hint="eastAsia"/>
              </w:rPr>
              <w:t>主要技术人员</w:t>
            </w:r>
          </w:p>
        </w:tc>
        <w:tc>
          <w:tcPr>
            <w:tcW w:w="1304" w:type="dxa"/>
            <w:gridSpan w:val="2"/>
            <w:noWrap/>
            <w:vAlign w:val="center"/>
          </w:tcPr>
          <w:p>
            <w:pPr>
              <w:pStyle w:val="23"/>
            </w:pPr>
            <w:r>
              <w:rPr>
                <w:rFonts w:hint="eastAsia"/>
              </w:rPr>
              <w:t>王建兴</w:t>
            </w:r>
          </w:p>
        </w:tc>
        <w:tc>
          <w:tcPr>
            <w:tcW w:w="1304" w:type="dxa"/>
            <w:gridSpan w:val="2"/>
            <w:noWrap/>
          </w:tcPr>
          <w:p>
            <w:pPr>
              <w:pStyle w:val="23"/>
            </w:pPr>
            <w:r>
              <w:rPr>
                <w:rFonts w:hint="eastAsia"/>
              </w:rPr>
              <w:t>副高</w:t>
            </w:r>
          </w:p>
        </w:tc>
        <w:tc>
          <w:tcPr>
            <w:tcW w:w="4366" w:type="dxa"/>
            <w:gridSpan w:val="2"/>
            <w:noWrap/>
            <w:vAlign w:val="center"/>
          </w:tcPr>
          <w:p>
            <w:pPr>
              <w:pStyle w:val="23"/>
            </w:pPr>
            <w:r>
              <w:t>测算报告有关数据收集、采样和计算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668" w:type="dxa"/>
            <w:noWrap/>
            <w:vAlign w:val="center"/>
          </w:tcPr>
          <w:p>
            <w:pPr>
              <w:pStyle w:val="23"/>
            </w:pPr>
            <w:r>
              <w:rPr>
                <w:rFonts w:hint="eastAsia"/>
              </w:rPr>
              <w:t>主要技术人员</w:t>
            </w:r>
          </w:p>
        </w:tc>
        <w:tc>
          <w:tcPr>
            <w:tcW w:w="1304" w:type="dxa"/>
            <w:gridSpan w:val="2"/>
            <w:noWrap/>
            <w:vAlign w:val="center"/>
          </w:tcPr>
          <w:p>
            <w:pPr>
              <w:pStyle w:val="23"/>
            </w:pPr>
            <w:r>
              <w:rPr>
                <w:rFonts w:hint="eastAsia"/>
              </w:rPr>
              <w:t>刘云梦</w:t>
            </w:r>
          </w:p>
        </w:tc>
        <w:tc>
          <w:tcPr>
            <w:tcW w:w="1304" w:type="dxa"/>
            <w:gridSpan w:val="2"/>
            <w:noWrap/>
            <w:vAlign w:val="center"/>
          </w:tcPr>
          <w:p>
            <w:pPr>
              <w:pStyle w:val="23"/>
            </w:pPr>
            <w:r>
              <w:t>研究生</w:t>
            </w:r>
          </w:p>
        </w:tc>
        <w:tc>
          <w:tcPr>
            <w:tcW w:w="4366" w:type="dxa"/>
            <w:gridSpan w:val="2"/>
            <w:noWrap/>
            <w:vAlign w:val="center"/>
          </w:tcPr>
          <w:p>
            <w:pPr>
              <w:pStyle w:val="23"/>
            </w:pPr>
            <w:r>
              <w:rPr>
                <w:rFonts w:hint="eastAsia"/>
              </w:rPr>
              <w:t>试验、</w:t>
            </w:r>
            <w:r>
              <w:t>计算和数据整理分析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668" w:type="dxa"/>
            <w:noWrap/>
            <w:vAlign w:val="center"/>
          </w:tcPr>
          <w:p>
            <w:pPr>
              <w:pStyle w:val="23"/>
            </w:pPr>
            <w:r>
              <w:rPr>
                <w:rFonts w:hint="eastAsia"/>
              </w:rPr>
              <w:t>主要技术人员</w:t>
            </w:r>
          </w:p>
        </w:tc>
        <w:tc>
          <w:tcPr>
            <w:tcW w:w="1304" w:type="dxa"/>
            <w:gridSpan w:val="2"/>
            <w:noWrap/>
            <w:vAlign w:val="center"/>
          </w:tcPr>
          <w:p>
            <w:pPr>
              <w:pStyle w:val="23"/>
            </w:pPr>
            <w:r>
              <w:rPr>
                <w:rFonts w:hint="eastAsia"/>
              </w:rPr>
              <w:t>贾文堂</w:t>
            </w:r>
          </w:p>
        </w:tc>
        <w:tc>
          <w:tcPr>
            <w:tcW w:w="1304" w:type="dxa"/>
            <w:gridSpan w:val="2"/>
            <w:noWrap/>
            <w:vAlign w:val="center"/>
          </w:tcPr>
          <w:p>
            <w:pPr>
              <w:pStyle w:val="23"/>
            </w:pPr>
            <w:r>
              <w:t>研究生</w:t>
            </w:r>
          </w:p>
        </w:tc>
        <w:tc>
          <w:tcPr>
            <w:tcW w:w="4366" w:type="dxa"/>
            <w:gridSpan w:val="2"/>
            <w:noWrap/>
            <w:vAlign w:val="center"/>
          </w:tcPr>
          <w:p>
            <w:pPr>
              <w:pStyle w:val="23"/>
            </w:pPr>
            <w:r>
              <w:rPr>
                <w:rFonts w:hint="eastAsia"/>
              </w:rPr>
              <w:t>试验、</w:t>
            </w:r>
            <w:r>
              <w:t>计算和数据整理分析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668" w:type="dxa"/>
            <w:noWrap/>
            <w:vAlign w:val="center"/>
          </w:tcPr>
          <w:p>
            <w:pPr>
              <w:pStyle w:val="23"/>
            </w:pPr>
            <w:r>
              <w:rPr>
                <w:rFonts w:hint="eastAsia"/>
              </w:rPr>
              <w:t>主要技术人员</w:t>
            </w:r>
          </w:p>
        </w:tc>
        <w:tc>
          <w:tcPr>
            <w:tcW w:w="1304" w:type="dxa"/>
            <w:gridSpan w:val="2"/>
            <w:noWrap/>
            <w:vAlign w:val="center"/>
          </w:tcPr>
          <w:p>
            <w:pPr>
              <w:pStyle w:val="23"/>
            </w:pPr>
            <w:r>
              <w:rPr>
                <w:rFonts w:hint="eastAsia"/>
              </w:rPr>
              <w:t>刘巧玲</w:t>
            </w:r>
          </w:p>
        </w:tc>
        <w:tc>
          <w:tcPr>
            <w:tcW w:w="1304" w:type="dxa"/>
            <w:gridSpan w:val="2"/>
            <w:noWrap/>
            <w:vAlign w:val="center"/>
          </w:tcPr>
          <w:p>
            <w:pPr>
              <w:pStyle w:val="23"/>
            </w:pPr>
            <w:r>
              <w:t>研究生</w:t>
            </w:r>
          </w:p>
        </w:tc>
        <w:tc>
          <w:tcPr>
            <w:tcW w:w="4366" w:type="dxa"/>
            <w:gridSpan w:val="2"/>
            <w:noWrap/>
            <w:vAlign w:val="center"/>
          </w:tcPr>
          <w:p>
            <w:pPr>
              <w:pStyle w:val="23"/>
            </w:pPr>
            <w:r>
              <w:rPr>
                <w:rFonts w:hint="eastAsia"/>
              </w:rPr>
              <w:t>试验、</w:t>
            </w:r>
            <w:r>
              <w:t>计算和数据整理分析</w:t>
            </w:r>
          </w:p>
        </w:tc>
      </w:tr>
      <w:bookmarkEnd w:id="20"/>
    </w:tbl>
    <w:p>
      <w:pPr>
        <w:ind w:firstLine="560"/>
        <w:rPr>
          <w:rFonts w:eastAsia="仿宋_GB2312"/>
          <w:szCs w:val="28"/>
        </w:rPr>
      </w:pPr>
      <w:r>
        <w:rPr>
          <w:rFonts w:eastAsia="仿宋_GB2312"/>
          <w:szCs w:val="28"/>
        </w:rPr>
        <w:t>按照《全国灌溉用水有效利用系数技术指南》要求，</w:t>
      </w:r>
      <w:r>
        <w:rPr>
          <w:rFonts w:hint="eastAsia" w:eastAsia="仿宋_GB2312"/>
          <w:szCs w:val="28"/>
        </w:rPr>
        <w:t>洛浦县</w:t>
      </w:r>
      <w:r>
        <w:rPr>
          <w:rFonts w:eastAsia="仿宋_GB2312"/>
          <w:szCs w:val="28"/>
        </w:rPr>
        <w:t>采用“首尾测算分析法”来计算灌区农田灌溉水有效利用系数。首尾测算方法有以下几个优点：</w:t>
      </w:r>
    </w:p>
    <w:p>
      <w:pPr>
        <w:ind w:firstLine="560"/>
        <w:rPr>
          <w:rFonts w:eastAsia="仿宋_GB2312"/>
          <w:szCs w:val="28"/>
        </w:rPr>
      </w:pPr>
      <w:r>
        <w:rPr>
          <w:rFonts w:eastAsia="仿宋_GB2312"/>
          <w:szCs w:val="28"/>
        </w:rPr>
        <w:t>（1）能科学反映灌区渠系输水和田间用水状况，相对准确地衡量从水源取水到田间作物吸收利用过程中灌溉水利用程度，得出的结果具有较高的精度。</w:t>
      </w:r>
    </w:p>
    <w:p>
      <w:pPr>
        <w:ind w:firstLine="560"/>
        <w:rPr>
          <w:rFonts w:eastAsia="仿宋_GB2312"/>
          <w:szCs w:val="28"/>
        </w:rPr>
      </w:pPr>
      <w:r>
        <w:rPr>
          <w:rFonts w:eastAsia="仿宋_GB2312"/>
          <w:szCs w:val="28"/>
        </w:rPr>
        <w:t>（2）能综合反映灌区灌溉工程状况、用水管理水平、灌溉技术水平，得出的结果具有较好的代表性。</w:t>
      </w:r>
    </w:p>
    <w:p>
      <w:pPr>
        <w:ind w:firstLine="560"/>
        <w:rPr>
          <w:rFonts w:eastAsia="仿宋_GB2312"/>
          <w:szCs w:val="28"/>
        </w:rPr>
      </w:pPr>
      <w:r>
        <w:rPr>
          <w:rFonts w:eastAsia="仿宋_GB2312"/>
          <w:szCs w:val="28"/>
        </w:rPr>
        <w:t>（3）方法简便，灌区具备一定的技术力量与灌溉用水管理等资料，即可顺利开展该项测算工作，能有效降低工作难度。首尾测算分析法适用性好，可用于各种布置形式的渠系。</w:t>
      </w:r>
    </w:p>
    <w:p>
      <w:pPr>
        <w:ind w:firstLine="560"/>
        <w:rPr>
          <w:rFonts w:eastAsia="仿宋_GB2312"/>
          <w:szCs w:val="28"/>
        </w:rPr>
      </w:pPr>
      <w:r>
        <w:rPr>
          <w:rFonts w:eastAsia="仿宋_GB2312"/>
          <w:szCs w:val="28"/>
        </w:rPr>
        <w:t>从</w:t>
      </w:r>
      <w:r>
        <w:rPr>
          <w:rFonts w:hint="eastAsia" w:eastAsia="仿宋_GB2312"/>
          <w:szCs w:val="28"/>
        </w:rPr>
        <w:t>2023年1</w:t>
      </w:r>
      <w:r>
        <w:rPr>
          <w:rFonts w:eastAsia="仿宋_GB2312"/>
          <w:szCs w:val="28"/>
        </w:rPr>
        <w:t>月—</w:t>
      </w:r>
      <w:r>
        <w:rPr>
          <w:rFonts w:hint="eastAsia" w:eastAsia="仿宋_GB2312"/>
          <w:szCs w:val="28"/>
        </w:rPr>
        <w:t>2023年10</w:t>
      </w:r>
      <w:r>
        <w:rPr>
          <w:rFonts w:eastAsia="仿宋_GB2312"/>
          <w:szCs w:val="28"/>
        </w:rPr>
        <w:t>月测算小组组织相关专业人员前往各单位收集资料，查明灌区具体情况，针对</w:t>
      </w:r>
      <w:r>
        <w:rPr>
          <w:rFonts w:hint="eastAsia" w:eastAsia="仿宋_GB2312"/>
          <w:szCs w:val="28"/>
        </w:rPr>
        <w:t>洛浦县</w:t>
      </w:r>
      <w:r>
        <w:rPr>
          <w:rFonts w:eastAsia="仿宋_GB2312"/>
          <w:szCs w:val="28"/>
        </w:rPr>
        <w:t>农业灌溉的总体情况，收集灌区灌溉面积、灌溉用水量、灌溉定额、种植作物等前期资料。期间需要</w:t>
      </w:r>
      <w:r>
        <w:rPr>
          <w:rFonts w:hint="eastAsia" w:eastAsia="仿宋_GB2312"/>
          <w:szCs w:val="28"/>
        </w:rPr>
        <w:t>洛浦县</w:t>
      </w:r>
      <w:r>
        <w:rPr>
          <w:rFonts w:eastAsia="仿宋_GB2312"/>
          <w:szCs w:val="28"/>
        </w:rPr>
        <w:t>水利局组织沟通和下达技术人员下灌区调查的文件，洛浦县</w:t>
      </w:r>
      <w:r>
        <w:rPr>
          <w:rFonts w:hint="eastAsia" w:eastAsia="仿宋_GB2312"/>
          <w:szCs w:val="28"/>
        </w:rPr>
        <w:t>水利局相关单位</w:t>
      </w:r>
      <w:r>
        <w:rPr>
          <w:rFonts w:eastAsia="仿宋_GB2312"/>
          <w:szCs w:val="28"/>
        </w:rPr>
        <w:t>积极配合调查前期资料、灌区渠道数量、工程现状。</w:t>
      </w:r>
      <w:r>
        <w:rPr>
          <w:rFonts w:hint="eastAsia" w:eastAsia="仿宋_GB2312"/>
          <w:szCs w:val="28"/>
        </w:rPr>
        <w:t>2024年1</w:t>
      </w:r>
      <w:r>
        <w:rPr>
          <w:rFonts w:eastAsia="仿宋_GB2312"/>
          <w:szCs w:val="28"/>
        </w:rPr>
        <w:t>月—</w:t>
      </w:r>
      <w:r>
        <w:rPr>
          <w:rFonts w:hint="eastAsia" w:eastAsia="仿宋_GB2312"/>
          <w:szCs w:val="28"/>
        </w:rPr>
        <w:t>2024年4</w:t>
      </w:r>
      <w:r>
        <w:rPr>
          <w:rFonts w:eastAsia="仿宋_GB2312"/>
          <w:szCs w:val="28"/>
        </w:rPr>
        <w:t>月测算小组结合测算工作进行数据汇总、系数计算、报告编制工作，依据首尾测算分析法计算公式计算灌区毛灌溉用水总量、净灌溉用水量，最终确定该灌区的农业灌溉用水有效利用系数。依据规范和文件进行编写</w:t>
      </w:r>
      <w:r>
        <w:rPr>
          <w:rFonts w:hint="eastAsia" w:eastAsia="仿宋_GB2312"/>
          <w:szCs w:val="28"/>
        </w:rPr>
        <w:t>洛浦县</w:t>
      </w:r>
      <w:r>
        <w:rPr>
          <w:rFonts w:eastAsia="仿宋_GB2312"/>
          <w:szCs w:val="28"/>
        </w:rPr>
        <w:t>农业灌区灌溉水有效利用系数测算报告。</w:t>
      </w:r>
    </w:p>
    <w:p>
      <w:pPr>
        <w:widowControl/>
        <w:spacing w:after="160" w:line="278" w:lineRule="auto"/>
        <w:ind w:firstLine="0" w:firstLineChars="0"/>
      </w:pPr>
      <w:r>
        <w:br w:type="page"/>
      </w:r>
    </w:p>
    <w:p>
      <w:pPr>
        <w:pStyle w:val="2"/>
      </w:pPr>
      <w:bookmarkStart w:id="21" w:name="_Toc164082411"/>
      <w:r>
        <w:t>3 灌溉用水定额分区</w:t>
      </w:r>
      <w:bookmarkEnd w:id="21"/>
    </w:p>
    <w:p>
      <w:pPr>
        <w:pStyle w:val="3"/>
      </w:pPr>
      <w:bookmarkStart w:id="22" w:name="_Toc164082412"/>
      <w:r>
        <w:t>3.1分区原则</w:t>
      </w:r>
      <w:bookmarkEnd w:id="22"/>
    </w:p>
    <w:p>
      <w:pPr>
        <w:ind w:firstLine="560"/>
      </w:pPr>
      <w:r>
        <w:t>样点灌区应按照具有代表性、可行性和稳定性等原则选择。在选择过程中，考虑区域内灌溉面积的分布、灌区节水改造等情况，使所选的样点灌区能基本反映区域灌区整体特点。</w:t>
      </w:r>
    </w:p>
    <w:p>
      <w:pPr>
        <w:ind w:firstLine="560"/>
      </w:pPr>
      <w:r>
        <w:t>（1）代表性。综合考虑灌区的地形地貌、土壤类型、工程设施、管理水平、水源条件（提水、自流引水）、作物种植结构等因素，所选样点灌区能代表区域范围内同规模与类型灌区。</w:t>
      </w:r>
    </w:p>
    <w:p>
      <w:pPr>
        <w:ind w:firstLine="560"/>
      </w:pPr>
      <w:r>
        <w:t>（2）可行性。样点灌区应配备量水设施，具有能开展测算分析工作的技术、力量及必要经费支持，保证及时方便、可靠地获取测算分析基本数据。</w:t>
      </w:r>
    </w:p>
    <w:p>
      <w:pPr>
        <w:ind w:firstLine="560"/>
      </w:pPr>
      <w:r>
        <w:t>（3）稳定性。样点灌区要保持相对稳定，使测算分析工作连续进行，获取的数据具有年际可比性。所有大型灌区均作为样点灌区纳入测算分析范围，中型灌区样点灌区应基本保持稳定，小型和纯井灌区样点灌区可根据测算条件变化做必要调整，但调整数量不能大于其样点灌区总数的 5 %。</w:t>
      </w:r>
    </w:p>
    <w:p>
      <w:pPr>
        <w:pStyle w:val="3"/>
      </w:pPr>
      <w:bookmarkStart w:id="23" w:name="_Toc164082413"/>
      <w:r>
        <w:t>3.2分区方法</w:t>
      </w:r>
      <w:bookmarkEnd w:id="23"/>
    </w:p>
    <w:p>
      <w:pPr>
        <w:ind w:firstLine="560"/>
      </w:pPr>
      <w:r>
        <w:t>按有效灌溉面积大小分为 3 个档次，即 1 万亩≤A 中型（中型灌区有效灌溉面积，下同）＜5 万亩（当灌区有效灌溉面积小于 1 万亩时，按实际数据填写灌区基本信息调查表）、5 万亩≤A 中型＜15 万亩、15 万亩≤A 中型＜30 万亩，每个档次的样点灌区数量不应少于区域相应档次灌区总数的 5%，各档次样点灌区有效灌溉面积不应少于区域相应档次灌区有效灌溉面积的 10%。同时，每个档次的样点灌区中应包括提水和自流引水 2 种水源类型，且数量和有效灌溉面积选取比例应与区域该档次比例相协调。小型</w:t>
      </w:r>
      <w:r>
        <w:rPr>
          <w:rFonts w:hint="eastAsia"/>
        </w:rPr>
        <w:t>样点灌区有效灌溉面积不小于100亩，不少于10个，可按实际数量全部选取；</w:t>
      </w:r>
      <w:r>
        <w:t>纯井灌区以单井控制</w:t>
      </w:r>
      <w:r>
        <w:rPr>
          <w:rFonts w:hint="eastAsia"/>
        </w:rPr>
        <w:t>灌溉</w:t>
      </w:r>
      <w:r>
        <w:t>面积作为一个样点灌区</w:t>
      </w:r>
      <w:r>
        <w:rPr>
          <w:rFonts w:hint="eastAsia"/>
        </w:rPr>
        <w:t>，分</w:t>
      </w:r>
      <w:r>
        <w:t>土质渠道</w:t>
      </w:r>
      <w:r>
        <w:rPr>
          <w:rFonts w:hint="eastAsia"/>
        </w:rPr>
        <w:t>地面灌</w:t>
      </w:r>
      <w:r>
        <w:t>、防渗渠道</w:t>
      </w:r>
      <w:r>
        <w:rPr>
          <w:rFonts w:hint="eastAsia"/>
        </w:rPr>
        <w:t>地面灌</w:t>
      </w:r>
      <w:r>
        <w:t>、管道</w:t>
      </w:r>
      <w:r>
        <w:rPr>
          <w:rFonts w:hint="eastAsia"/>
        </w:rPr>
        <w:t>输水地面灌</w:t>
      </w:r>
      <w:r>
        <w:t>、喷灌、微灌</w:t>
      </w:r>
      <w:r>
        <w:rPr>
          <w:rFonts w:hint="eastAsia"/>
        </w:rPr>
        <w:t>等5种灌溉类型</w:t>
      </w:r>
      <w:r>
        <w:t>样点</w:t>
      </w:r>
      <w:r>
        <w:rPr>
          <w:rFonts w:hint="eastAsia"/>
        </w:rPr>
        <w:t>灌区，同种主要土壤类型、同种主要作物</w:t>
      </w:r>
      <w:r>
        <w:t>至少选择</w:t>
      </w:r>
      <w:r>
        <w:rPr>
          <w:rFonts w:hint="eastAsia"/>
        </w:rPr>
        <w:t>2</w:t>
      </w:r>
      <w:r>
        <w:t>个样点灌区</w:t>
      </w:r>
      <w:r>
        <w:rPr>
          <w:rFonts w:hint="eastAsia"/>
        </w:rPr>
        <w:t>。</w:t>
      </w:r>
    </w:p>
    <w:p>
      <w:pPr>
        <w:ind w:firstLine="560"/>
      </w:pPr>
      <w:r>
        <w:t>不同规模灌区选择样点灌区个数的要求：</w:t>
      </w:r>
    </w:p>
    <w:p>
      <w:pPr>
        <w:ind w:firstLine="560"/>
      </w:pPr>
      <w:r>
        <w:t>（1）大型灌区：样点灌区个数不应少于大型灌区总数的 10%，同时满足提水、自流引水每个类型至少选取 1 个代表该类型工程设施与管理水平平均状况的样点，样点灌区现状有效灌溉面积不少于大型灌区有效灌溉面积的 20%。</w:t>
      </w:r>
    </w:p>
    <w:p>
      <w:pPr>
        <w:ind w:firstLine="560"/>
      </w:pPr>
      <w:r>
        <w:rPr>
          <w:rFonts w:hint="eastAsia"/>
        </w:rPr>
        <w:t>洛浦县大型灌区为和田河灌区。</w:t>
      </w:r>
    </w:p>
    <w:p>
      <w:pPr>
        <w:ind w:firstLine="560"/>
        <w:rPr>
          <w:rFonts w:eastAsia="仿宋_GB2312"/>
          <w:szCs w:val="28"/>
        </w:rPr>
      </w:pPr>
      <w:r>
        <w:rPr>
          <w:rFonts w:eastAsia="仿宋_GB2312"/>
          <w:szCs w:val="28"/>
        </w:rPr>
        <w:t>（2）中型灌区：样点灌区个数不应少于大型灌区总数的 4%，同时满足提水、自流引水每个类型至少选取 1 个代表该类型工程设施与管理水平平均状况的样点，样点灌区现状有效灌溉面积不少于中型灌区有效灌溉面积的 20%。</w:t>
      </w:r>
    </w:p>
    <w:p>
      <w:pPr>
        <w:ind w:firstLine="560"/>
        <w:rPr>
          <w:rFonts w:eastAsia="仿宋_GB2312"/>
          <w:szCs w:val="28"/>
        </w:rPr>
      </w:pPr>
      <w:r>
        <w:rPr>
          <w:rFonts w:hint="eastAsia" w:eastAsia="仿宋_GB2312"/>
          <w:szCs w:val="28"/>
        </w:rPr>
        <w:t>洛浦县无中型灌区。</w:t>
      </w:r>
    </w:p>
    <w:p>
      <w:pPr>
        <w:ind w:firstLine="560"/>
        <w:rPr>
          <w:rFonts w:eastAsia="仿宋_GB2312"/>
          <w:szCs w:val="28"/>
        </w:rPr>
      </w:pPr>
      <w:r>
        <w:rPr>
          <w:rFonts w:eastAsia="仿宋_GB2312"/>
          <w:szCs w:val="28"/>
        </w:rPr>
        <w:t>（3）小型灌区：样点灌区个数不应少于小型灌区总数的 4%，同时满足提水、自流引水每个类型至少选取 1 个代表该类型工程设施与管理水平平均状况的样点，样点灌区现状有效灌溉面积不少于小型灌区有效灌溉面积的 20%。</w:t>
      </w:r>
    </w:p>
    <w:p>
      <w:pPr>
        <w:ind w:firstLine="560"/>
        <w:rPr>
          <w:rFonts w:eastAsia="仿宋_GB2312"/>
          <w:szCs w:val="28"/>
        </w:rPr>
      </w:pPr>
      <w:r>
        <w:rPr>
          <w:rFonts w:hint="eastAsia" w:eastAsia="仿宋_GB2312"/>
          <w:szCs w:val="28"/>
        </w:rPr>
        <w:t>洛浦县无小型灌区。</w:t>
      </w:r>
    </w:p>
    <w:p>
      <w:pPr>
        <w:ind w:firstLine="560"/>
        <w:rPr>
          <w:rFonts w:eastAsia="仿宋_GB2312"/>
          <w:szCs w:val="28"/>
        </w:rPr>
      </w:pPr>
      <w:r>
        <w:rPr>
          <w:rFonts w:eastAsia="仿宋_GB2312"/>
          <w:szCs w:val="28"/>
        </w:rPr>
        <w:t>（4）纯井灌区：样点灌区（测算单元）个数参照小型灌区要求自行确定。纯井灌区以单井控制面积作为一个测算单元，但至少每个类型应选择 3 个样点。</w:t>
      </w:r>
    </w:p>
    <w:p>
      <w:pPr>
        <w:ind w:firstLine="560"/>
        <w:rPr>
          <w:rFonts w:eastAsia="仿宋_GB2312"/>
          <w:szCs w:val="28"/>
        </w:rPr>
      </w:pPr>
      <w:r>
        <w:rPr>
          <w:rFonts w:hint="eastAsia" w:eastAsia="仿宋_GB2312"/>
          <w:szCs w:val="28"/>
        </w:rPr>
        <w:t>洛浦县</w:t>
      </w:r>
      <w:r>
        <w:rPr>
          <w:rFonts w:eastAsia="仿宋_GB2312"/>
          <w:szCs w:val="28"/>
        </w:rPr>
        <w:t>无纯井灌区。</w:t>
      </w:r>
    </w:p>
    <w:p>
      <w:pPr>
        <w:pStyle w:val="3"/>
      </w:pPr>
      <w:bookmarkStart w:id="24" w:name="_Toc164082414"/>
      <w:r>
        <w:t>3.3分区概述</w:t>
      </w:r>
      <w:bookmarkEnd w:id="24"/>
    </w:p>
    <w:p>
      <w:pPr>
        <w:pStyle w:val="4"/>
      </w:pPr>
      <w:bookmarkStart w:id="25" w:name="_Toc74582411"/>
      <w:bookmarkStart w:id="26" w:name="_Toc164082415"/>
      <w:r>
        <w:rPr>
          <w:rFonts w:hint="eastAsia"/>
        </w:rPr>
        <w:t xml:space="preserve">3.3.1 </w:t>
      </w:r>
      <w:r>
        <w:t>样点灌区基本情况与代表性分析</w:t>
      </w:r>
      <w:bookmarkEnd w:id="25"/>
      <w:bookmarkEnd w:id="26"/>
    </w:p>
    <w:p>
      <w:pPr>
        <w:ind w:firstLine="560"/>
      </w:pPr>
      <w:r>
        <w:rPr>
          <w:rFonts w:hint="eastAsia"/>
        </w:rPr>
        <w:t>根据新水办[2022]110号文件，2022年洛浦县观测典型灌区有:大型灌区包括和田河灌区，样点灌区基础信息见表3.1。</w:t>
      </w:r>
    </w:p>
    <w:p>
      <w:pPr>
        <w:ind w:firstLine="560"/>
      </w:pPr>
      <w:r>
        <w:t>选择样点灌区数量比</w:t>
      </w:r>
      <w:r>
        <w:rPr>
          <w:rFonts w:hint="eastAsia"/>
        </w:rPr>
        <w:t>和</w:t>
      </w:r>
      <w:r>
        <w:t>灌区面积</w:t>
      </w:r>
      <w:r>
        <w:rPr>
          <w:rFonts w:hint="eastAsia"/>
        </w:rPr>
        <w:t>均满足要求，</w:t>
      </w:r>
      <w:r>
        <w:t>灌区面积上代表性满足。</w:t>
      </w:r>
    </w:p>
    <w:p>
      <w:pPr>
        <w:pStyle w:val="22"/>
      </w:pPr>
      <w:r>
        <w:rPr>
          <w:rFonts w:hint="eastAsia"/>
        </w:rPr>
        <w:t>表3.1样点灌区基础信息表</w:t>
      </w:r>
    </w:p>
    <w:tbl>
      <w:tblPr>
        <w:tblStyle w:val="13"/>
        <w:tblW w:w="8522" w:type="dxa"/>
        <w:tblInd w:w="0" w:type="dxa"/>
        <w:tblLayout w:type="fixed"/>
        <w:tblCellMar>
          <w:top w:w="0" w:type="dxa"/>
          <w:left w:w="108" w:type="dxa"/>
          <w:bottom w:w="0" w:type="dxa"/>
          <w:right w:w="108" w:type="dxa"/>
        </w:tblCellMar>
      </w:tblPr>
      <w:tblGrid>
        <w:gridCol w:w="638"/>
        <w:gridCol w:w="1266"/>
        <w:gridCol w:w="1245"/>
        <w:gridCol w:w="824"/>
        <w:gridCol w:w="1385"/>
        <w:gridCol w:w="1478"/>
        <w:gridCol w:w="1686"/>
      </w:tblGrid>
      <w:tr>
        <w:tblPrEx>
          <w:tblCellMar>
            <w:top w:w="0" w:type="dxa"/>
            <w:left w:w="108" w:type="dxa"/>
            <w:bottom w:w="0" w:type="dxa"/>
            <w:right w:w="108" w:type="dxa"/>
          </w:tblCellMar>
        </w:tblPrEx>
        <w:trPr>
          <w:trHeight w:val="2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序号</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pPr>
            <w:r>
              <w:t>灌区名称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pPr>
            <w:r>
              <w:t>行政区划名称</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pPr>
            <w:r>
              <w:t>灌区规模</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pPr>
            <w:r>
              <w:t>总灌溉面积（万亩）</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pPr>
            <w:r>
              <w:t>有效灌溉面积（万亩）</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pPr>
            <w:r>
              <w:t>灌区管理机构</w:t>
            </w:r>
          </w:p>
        </w:tc>
      </w:tr>
      <w:tr>
        <w:tblPrEx>
          <w:tblCellMar>
            <w:top w:w="0" w:type="dxa"/>
            <w:left w:w="108" w:type="dxa"/>
            <w:bottom w:w="0" w:type="dxa"/>
            <w:right w:w="108" w:type="dxa"/>
          </w:tblCellMar>
        </w:tblPrEx>
        <w:trPr>
          <w:trHeight w:val="2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和田河灌区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和田地区</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大型</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304.08</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181.89</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pPr>
            <w:r>
              <w:t>和田地区水利局</w:t>
            </w:r>
          </w:p>
        </w:tc>
      </w:tr>
    </w:tbl>
    <w:p>
      <w:pPr>
        <w:pStyle w:val="4"/>
      </w:pPr>
      <w:bookmarkStart w:id="27" w:name="_Toc74582412"/>
      <w:bookmarkStart w:id="28" w:name="_Toc164082416"/>
      <w:r>
        <w:rPr>
          <w:rFonts w:hint="eastAsia"/>
        </w:rPr>
        <w:t xml:space="preserve">3.3.2 </w:t>
      </w:r>
      <w:r>
        <w:t>样点灌区测算分析方法</w:t>
      </w:r>
      <w:bookmarkEnd w:id="27"/>
      <w:bookmarkEnd w:id="28"/>
    </w:p>
    <w:p>
      <w:pPr>
        <w:ind w:firstLine="560"/>
      </w:pPr>
      <w:r>
        <w:t>本次组织开展的灌溉用水有效利用系数测算工作，主要是通过选择不同规模、不同类型、不同工程状况和管理水平的典型代表灌区作为典型样点灌区，并依据典型样点灌区已有的灌溉用水管理资料、灌溉试验与观测资料和灌溉实践经验等，通过调查观测、计算分析，得出典型灌区现状灌溉水有效利用系数。在典型灌区灌溉用水有效利用系数测算的基础上，采用点与面相结合，调查统计与观测分析相结合，微观研究与宏观分析评价相结合的方法，按不同分类灌区灌溉用水量进行加权平均，推算洛浦县现状灌溉用水有效利用系数。</w:t>
      </w:r>
    </w:p>
    <w:p>
      <w:pPr>
        <w:ind w:firstLine="560"/>
      </w:pPr>
      <w:r>
        <w:t>整个过程中首先选取典型田块，然后依照一定方法测算分析典型田块年亩均净灌溉用水量，进而分析计算样点灌区年净灌溉用水量，最后，以样点灌区年净灌溉用水量、年毛灌溉用水量为基础，分析计算样点灌区灌溉水有效利用系数。</w:t>
      </w:r>
    </w:p>
    <w:p>
      <w:pPr>
        <w:ind w:firstLine="560"/>
      </w:pPr>
      <w:r>
        <w:t>样点灌区个数具体要求如下：</w:t>
      </w:r>
    </w:p>
    <w:p>
      <w:pPr>
        <w:ind w:firstLine="560"/>
      </w:pPr>
      <w:r>
        <w:t>（1）大型灌区：样点灌区个数不应少于大型灌区总数的 10%，同时满足提水、自流引水每个类型至少选取 1 个代表该类型工程设施与管理水平平均状况的样点，样点灌区现状有效灌溉面积不少于大型灌区有效灌溉面积的 20%。</w:t>
      </w:r>
    </w:p>
    <w:p>
      <w:pPr>
        <w:ind w:firstLine="560"/>
      </w:pPr>
      <w:r>
        <w:t>（2）中型灌区：样点灌区个数不应少于大型灌区总数的 4%，同时满足提水、自流引水每个类型至少选取 1 个代表该类型工程设施与管理水平平均状况的样点，样点灌区现状有效灌溉面积不少于中型灌区有效灌溉面积的 20%。</w:t>
      </w:r>
    </w:p>
    <w:p>
      <w:pPr>
        <w:ind w:firstLine="560"/>
      </w:pPr>
      <w:r>
        <w:t>（3）小型灌区：样点灌区个数不应少于小型灌区总数的 4%，同时满足提水、自流引水每个类型至少选取 1 个代表该类型工程设施与管理水平平均状况的样点，样点灌区现状有效灌溉面积不少于小型灌区有效灌溉面积的 20%。</w:t>
      </w:r>
    </w:p>
    <w:p>
      <w:pPr>
        <w:ind w:firstLine="560"/>
      </w:pPr>
      <w:r>
        <w:t>（4）纯井灌区：样点灌区（测算单元）个数参照小型灌区要求自行确定。纯井灌区以单井控制面积作为一个测算单元，但至少每个类型应选择 3 个样点。</w:t>
      </w:r>
      <w:r>
        <w:br w:type="page"/>
      </w:r>
    </w:p>
    <w:p>
      <w:pPr>
        <w:pStyle w:val="2"/>
      </w:pPr>
      <w:bookmarkStart w:id="29" w:name="_Toc164082417"/>
      <w:r>
        <w:t>4 灌溉用水定额现状分析</w:t>
      </w:r>
      <w:bookmarkEnd w:id="29"/>
    </w:p>
    <w:p>
      <w:pPr>
        <w:pStyle w:val="3"/>
      </w:pPr>
      <w:bookmarkStart w:id="30" w:name="_Toc164082418"/>
      <w:r>
        <w:t>4.1典型区选择及基本情况</w:t>
      </w:r>
      <w:bookmarkEnd w:id="30"/>
    </w:p>
    <w:p>
      <w:pPr>
        <w:ind w:firstLine="560"/>
      </w:pPr>
      <w:r>
        <w:t>典型田块要边界清楚、形状规则、面积适中；综合考虑作物种类、灌溉方式、畦田规格、地形、土地平整程度、土壤类型、灌溉制度与方法、地下水埋深等方面的代表性；有固定的进水口和排水口；配备量水设施。对于播种面积超过灌区总播种面积 10%以上的作物种类，须分别选择典型田块。</w:t>
      </w:r>
    </w:p>
    <w:p>
      <w:pPr>
        <w:ind w:firstLine="560"/>
      </w:pPr>
      <w:r>
        <w:rPr>
          <w:rFonts w:hint="eastAsia"/>
        </w:rPr>
        <w:t>（1）大型灌区应至少在上、中、下游有代表性的斗渠控制范围内分别选取，每种需观测的作物种类至少选取3个典型田块。</w:t>
      </w:r>
    </w:p>
    <w:p>
      <w:pPr>
        <w:ind w:firstLine="560"/>
      </w:pPr>
      <w:r>
        <w:rPr>
          <w:rFonts w:hint="eastAsia"/>
        </w:rPr>
        <w:t>（2）中型灌区样点灌区应至少在上、下游有代表性的斗渠控制范围内分别选取，每种需观测的作物种类至少选取3个典型田块。</w:t>
      </w:r>
    </w:p>
    <w:p>
      <w:pPr>
        <w:ind w:firstLine="560"/>
      </w:pPr>
      <w:r>
        <w:rPr>
          <w:rFonts w:hint="eastAsia"/>
        </w:rPr>
        <w:t>（3）小型灌区样点灌区应按照作物种类、耕作和灌溉制度与方法、田面平整程度等因素选取典型田块，每种需观测的作物种类至少选取2个典型田块。</w:t>
      </w:r>
    </w:p>
    <w:p>
      <w:pPr>
        <w:ind w:firstLine="560"/>
      </w:pPr>
      <w:r>
        <w:rPr>
          <w:rFonts w:hint="eastAsia"/>
        </w:rPr>
        <w:t>（4）纯井样点灌区应按照土质渠道地面灌、防渗渠道地面灌、管道输水地面灌、喷灌、微灌等5种类型进行选取，在同种灌溉类型下每种需观测的作物至少选择2个典型田块。</w:t>
      </w:r>
    </w:p>
    <w:p>
      <w:pPr>
        <w:ind w:firstLine="560"/>
      </w:pPr>
      <w:r>
        <w:t>根据以上原则，在</w:t>
      </w:r>
      <w:r>
        <w:rPr>
          <w:rFonts w:hint="eastAsia"/>
        </w:rPr>
        <w:t>洛浦县</w:t>
      </w:r>
      <w:r>
        <w:t>选择典型田块，典型田块信息见表</w:t>
      </w:r>
      <w:r>
        <w:rPr>
          <w:rFonts w:hint="eastAsia"/>
        </w:rPr>
        <w:t>4.1。</w:t>
      </w:r>
    </w:p>
    <w:p>
      <w:pPr>
        <w:pStyle w:val="6"/>
        <w:ind w:firstLine="562"/>
        <w:sectPr>
          <w:footerReference r:id="rId11" w:type="default"/>
          <w:pgSz w:w="11906" w:h="16838"/>
          <w:pgMar w:top="1474" w:right="1474" w:bottom="1474" w:left="1474" w:header="1077" w:footer="907" w:gutter="340"/>
          <w:pgNumType w:start="1"/>
          <w:cols w:space="425" w:num="1"/>
          <w:docGrid w:type="lines" w:linePitch="312" w:charSpace="0"/>
        </w:sectPr>
      </w:pPr>
    </w:p>
    <w:p>
      <w:pPr>
        <w:pStyle w:val="8"/>
        <w:ind w:left="0" w:leftChars="0" w:firstLine="56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表4.1洛浦县大型灌区典型田块信息统计表</w:t>
      </w:r>
    </w:p>
    <w:tbl>
      <w:tblPr>
        <w:tblStyle w:val="13"/>
        <w:tblW w:w="8369" w:type="dxa"/>
        <w:tblInd w:w="0" w:type="dxa"/>
        <w:tblLayout w:type="fixed"/>
        <w:tblCellMar>
          <w:top w:w="0" w:type="dxa"/>
          <w:left w:w="108" w:type="dxa"/>
          <w:bottom w:w="0" w:type="dxa"/>
          <w:right w:w="108" w:type="dxa"/>
        </w:tblCellMar>
      </w:tblPr>
      <w:tblGrid>
        <w:gridCol w:w="481"/>
        <w:gridCol w:w="753"/>
        <w:gridCol w:w="585"/>
        <w:gridCol w:w="1005"/>
        <w:gridCol w:w="920"/>
        <w:gridCol w:w="838"/>
        <w:gridCol w:w="589"/>
        <w:gridCol w:w="667"/>
        <w:gridCol w:w="418"/>
        <w:gridCol w:w="500"/>
        <w:gridCol w:w="587"/>
        <w:gridCol w:w="1019"/>
        <w:gridCol w:w="7"/>
      </w:tblGrid>
      <w:tr>
        <w:tblPrEx>
          <w:tblCellMar>
            <w:top w:w="0" w:type="dxa"/>
            <w:left w:w="108" w:type="dxa"/>
            <w:bottom w:w="0" w:type="dxa"/>
            <w:right w:w="108" w:type="dxa"/>
          </w:tblCellMar>
        </w:tblPrEx>
        <w:trPr>
          <w:trHeight w:val="80" w:hRule="atLeast"/>
          <w:tblHeader/>
        </w:trPr>
        <w:tc>
          <w:tcPr>
            <w:tcW w:w="5174" w:type="dxa"/>
            <w:gridSpan w:val="7"/>
            <w:tcBorders>
              <w:top w:val="single" w:color="000000" w:sz="4" w:space="0"/>
              <w:left w:val="single" w:color="000000" w:sz="4" w:space="0"/>
              <w:bottom w:val="single" w:color="000000" w:sz="4" w:space="0"/>
              <w:right w:val="nil"/>
            </w:tcBorders>
            <w:noWrap/>
            <w:vAlign w:val="center"/>
          </w:tcPr>
          <w:p>
            <w:pPr>
              <w:pStyle w:val="23"/>
            </w:pPr>
            <w:r>
              <w:rPr>
                <w:rFonts w:hint="eastAsia"/>
              </w:rPr>
              <w:t xml:space="preserve">灌区名称：和田河灌区                                                                </w:t>
            </w:r>
          </w:p>
        </w:tc>
        <w:tc>
          <w:tcPr>
            <w:tcW w:w="3195" w:type="dxa"/>
            <w:gridSpan w:val="6"/>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 xml:space="preserve">所属地州：和田地区洛浦县                  </w:t>
            </w:r>
          </w:p>
        </w:tc>
      </w:tr>
      <w:tr>
        <w:tblPrEx>
          <w:tblCellMar>
            <w:top w:w="0" w:type="dxa"/>
            <w:left w:w="108" w:type="dxa"/>
            <w:bottom w:w="0" w:type="dxa"/>
            <w:right w:w="108" w:type="dxa"/>
          </w:tblCellMar>
        </w:tblPrEx>
        <w:trPr>
          <w:trHeight w:val="221" w:hRule="atLeast"/>
          <w:tblHeader/>
        </w:trPr>
        <w:tc>
          <w:tcPr>
            <w:tcW w:w="5174" w:type="dxa"/>
            <w:gridSpan w:val="7"/>
            <w:tcBorders>
              <w:top w:val="single" w:color="000000" w:sz="4" w:space="0"/>
              <w:left w:val="single" w:color="000000" w:sz="4" w:space="0"/>
              <w:bottom w:val="single" w:color="000000" w:sz="4" w:space="0"/>
              <w:right w:val="nil"/>
            </w:tcBorders>
            <w:noWrap/>
            <w:vAlign w:val="center"/>
          </w:tcPr>
          <w:p>
            <w:pPr>
              <w:pStyle w:val="23"/>
            </w:pPr>
            <w:r>
              <w:rPr>
                <w:rFonts w:hint="eastAsia"/>
              </w:rPr>
              <w:t>填表人：刘云梦</w:t>
            </w:r>
          </w:p>
        </w:tc>
        <w:tc>
          <w:tcPr>
            <w:tcW w:w="3195" w:type="dxa"/>
            <w:gridSpan w:val="6"/>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联系方式：15310508905</w:t>
            </w:r>
          </w:p>
        </w:tc>
      </w:tr>
      <w:tr>
        <w:tblPrEx>
          <w:tblCellMar>
            <w:top w:w="0" w:type="dxa"/>
            <w:left w:w="108" w:type="dxa"/>
            <w:bottom w:w="0" w:type="dxa"/>
            <w:right w:w="108" w:type="dxa"/>
          </w:tblCellMar>
        </w:tblPrEx>
        <w:trPr>
          <w:gridAfter w:val="1"/>
          <w:wAfter w:w="7" w:type="dxa"/>
          <w:trHeight w:val="221" w:hRule="atLeast"/>
          <w:tblHeader/>
        </w:trPr>
        <w:tc>
          <w:tcPr>
            <w:tcW w:w="482"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片区</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作物名称</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灌区占比（%）</w:t>
            </w:r>
          </w:p>
        </w:tc>
        <w:tc>
          <w:tcPr>
            <w:tcW w:w="1006"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田块位置</w:t>
            </w:r>
          </w:p>
        </w:tc>
        <w:tc>
          <w:tcPr>
            <w:tcW w:w="920"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经度</w:t>
            </w:r>
          </w:p>
        </w:tc>
        <w:tc>
          <w:tcPr>
            <w:tcW w:w="838"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纬度</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面积（亩）</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灌溉方式</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水源情况</w:t>
            </w:r>
          </w:p>
        </w:tc>
        <w:tc>
          <w:tcPr>
            <w:tcW w:w="500"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灌水次数</w:t>
            </w:r>
          </w:p>
        </w:tc>
        <w:tc>
          <w:tcPr>
            <w:tcW w:w="587" w:type="dxa"/>
            <w:tcBorders>
              <w:top w:val="single" w:color="000000" w:sz="4" w:space="0"/>
              <w:left w:val="single" w:color="000000" w:sz="4" w:space="0"/>
              <w:bottom w:val="single" w:color="000000" w:sz="4" w:space="0"/>
              <w:right w:val="nil"/>
            </w:tcBorders>
            <w:noWrap/>
            <w:vAlign w:val="center"/>
          </w:tcPr>
          <w:p>
            <w:pPr>
              <w:pStyle w:val="23"/>
            </w:pPr>
            <w:r>
              <w:rPr>
                <w:rFonts w:hint="eastAsia"/>
              </w:rPr>
              <w:t>是否有量测水设施</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pStyle w:val="23"/>
            </w:pPr>
            <w:r>
              <w:rPr>
                <w:rFonts w:hint="eastAsia"/>
              </w:rPr>
              <w:t>田块联系人及电话</w:t>
            </w:r>
          </w:p>
        </w:tc>
      </w:tr>
      <w:tr>
        <w:tblPrEx>
          <w:tblCellMar>
            <w:top w:w="0" w:type="dxa"/>
            <w:left w:w="108" w:type="dxa"/>
            <w:bottom w:w="0" w:type="dxa"/>
            <w:right w:w="108" w:type="dxa"/>
          </w:tblCellMar>
        </w:tblPrEx>
        <w:trPr>
          <w:gridAfter w:val="1"/>
          <w:wAfter w:w="7" w:type="dxa"/>
          <w:trHeight w:val="221" w:hRule="atLeast"/>
        </w:trPr>
        <w:tc>
          <w:tcPr>
            <w:tcW w:w="482"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cs="仿宋_GB2312"/>
              </w:rPr>
              <w:t>上游</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1核桃间作冬小麦</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52%</w:t>
            </w:r>
          </w:p>
        </w:tc>
        <w:tc>
          <w:tcPr>
            <w:tcW w:w="1006"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多鲁乡巴什央都玛村1小队</w:t>
            </w:r>
          </w:p>
        </w:tc>
        <w:tc>
          <w:tcPr>
            <w:tcW w:w="92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E80.2771798</w:t>
            </w:r>
          </w:p>
        </w:tc>
        <w:tc>
          <w:tcPr>
            <w:tcW w:w="838"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N37.111720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132</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地面灌溉</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井渠混灌</w:t>
            </w:r>
          </w:p>
        </w:tc>
        <w:tc>
          <w:tcPr>
            <w:tcW w:w="50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10</w:t>
            </w:r>
          </w:p>
        </w:tc>
        <w:tc>
          <w:tcPr>
            <w:tcW w:w="587" w:type="dxa"/>
            <w:tcBorders>
              <w:top w:val="single" w:color="000000" w:sz="4" w:space="0"/>
              <w:left w:val="single" w:color="000000" w:sz="4" w:space="0"/>
              <w:bottom w:val="single" w:color="000000" w:sz="4" w:space="0"/>
              <w:right w:val="nil"/>
            </w:tcBorders>
            <w:noWrap/>
            <w:vAlign w:val="center"/>
          </w:tcPr>
          <w:p>
            <w:pPr>
              <w:pStyle w:val="23"/>
              <w:rPr>
                <w:rFonts w:cs="仿宋_GB2312"/>
              </w:rPr>
            </w:pPr>
            <w:r>
              <w:rPr>
                <w:rFonts w:hint="eastAsia" w:cs="仿宋_GB2312"/>
              </w:rPr>
              <w:t>有</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艾合麦提江13399038302</w:t>
            </w:r>
          </w:p>
        </w:tc>
      </w:tr>
      <w:tr>
        <w:tblPrEx>
          <w:tblCellMar>
            <w:top w:w="0" w:type="dxa"/>
            <w:left w:w="108" w:type="dxa"/>
            <w:bottom w:w="0" w:type="dxa"/>
            <w:right w:w="108" w:type="dxa"/>
          </w:tblCellMar>
        </w:tblPrEx>
        <w:trPr>
          <w:gridAfter w:val="1"/>
          <w:wAfter w:w="7" w:type="dxa"/>
          <w:trHeight w:val="221" w:hRule="atLeast"/>
        </w:trPr>
        <w:tc>
          <w:tcPr>
            <w:tcW w:w="48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2条田小麦复播玉米</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12%</w:t>
            </w:r>
          </w:p>
        </w:tc>
        <w:tc>
          <w:tcPr>
            <w:tcW w:w="1006"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杭桂镇巴什艾肯村7小队</w:t>
            </w:r>
          </w:p>
        </w:tc>
        <w:tc>
          <w:tcPr>
            <w:tcW w:w="92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E80.187005</w:t>
            </w:r>
          </w:p>
        </w:tc>
        <w:tc>
          <w:tcPr>
            <w:tcW w:w="838"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N37.14534</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126</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地面灌溉</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井渠混灌</w:t>
            </w:r>
          </w:p>
        </w:tc>
        <w:tc>
          <w:tcPr>
            <w:tcW w:w="50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7</w:t>
            </w:r>
          </w:p>
        </w:tc>
        <w:tc>
          <w:tcPr>
            <w:tcW w:w="587" w:type="dxa"/>
            <w:tcBorders>
              <w:top w:val="single" w:color="000000" w:sz="4" w:space="0"/>
              <w:left w:val="single" w:color="000000" w:sz="4" w:space="0"/>
              <w:bottom w:val="single" w:color="000000" w:sz="4" w:space="0"/>
              <w:right w:val="nil"/>
            </w:tcBorders>
            <w:noWrap/>
            <w:vAlign w:val="center"/>
          </w:tcPr>
          <w:p>
            <w:pPr>
              <w:pStyle w:val="23"/>
              <w:rPr>
                <w:rFonts w:cs="仿宋_GB2312"/>
              </w:rPr>
            </w:pPr>
            <w:r>
              <w:rPr>
                <w:rFonts w:hint="eastAsia" w:cs="仿宋_GB2312"/>
              </w:rPr>
              <w:t>有</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木塔力浦13999657122</w:t>
            </w:r>
          </w:p>
        </w:tc>
      </w:tr>
      <w:tr>
        <w:tblPrEx>
          <w:tblCellMar>
            <w:top w:w="0" w:type="dxa"/>
            <w:left w:w="108" w:type="dxa"/>
            <w:bottom w:w="0" w:type="dxa"/>
            <w:right w:w="108" w:type="dxa"/>
          </w:tblCellMar>
        </w:tblPrEx>
        <w:trPr>
          <w:gridAfter w:val="1"/>
          <w:wAfter w:w="7" w:type="dxa"/>
          <w:trHeight w:val="322" w:hRule="atLeast"/>
        </w:trPr>
        <w:tc>
          <w:tcPr>
            <w:tcW w:w="48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3枣树间作青储饲料</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11%</w:t>
            </w:r>
          </w:p>
        </w:tc>
        <w:tc>
          <w:tcPr>
            <w:tcW w:w="1006"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拜什托格拉克乡喀迪尔敦村7大队</w:t>
            </w:r>
          </w:p>
        </w:tc>
        <w:tc>
          <w:tcPr>
            <w:tcW w:w="92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E80.453612</w:t>
            </w:r>
          </w:p>
        </w:tc>
        <w:tc>
          <w:tcPr>
            <w:tcW w:w="838"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N37.5745</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57</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地面灌溉</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井渠混灌</w:t>
            </w:r>
          </w:p>
        </w:tc>
        <w:tc>
          <w:tcPr>
            <w:tcW w:w="50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5</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有</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pStyle w:val="23"/>
              <w:rPr>
                <w:rFonts w:cs="仿宋_GB2312"/>
              </w:rPr>
            </w:pPr>
            <w:r>
              <w:rPr>
                <w:rFonts w:hint="eastAsia" w:cs="仿宋_GB2312"/>
              </w:rPr>
              <w:t>木塔力浦13809984283</w:t>
            </w:r>
          </w:p>
        </w:tc>
      </w:tr>
    </w:tbl>
    <w:p>
      <w:pPr>
        <w:pStyle w:val="3"/>
      </w:pPr>
      <w:bookmarkStart w:id="31" w:name="_Toc164082419"/>
      <w:r>
        <w:t>4.2分区现状用水定额分析</w:t>
      </w:r>
      <w:bookmarkEnd w:id="31"/>
    </w:p>
    <w:p>
      <w:pPr>
        <w:ind w:firstLine="560"/>
      </w:pPr>
      <w:bookmarkStart w:id="32" w:name="_Hlk163466197"/>
      <w:r>
        <w:rPr>
          <w:rFonts w:hint="eastAsia"/>
        </w:rPr>
        <w:t>2023年度</w:t>
      </w:r>
      <w:bookmarkEnd w:id="32"/>
      <w:r>
        <w:rPr>
          <w:rFonts w:hint="eastAsia"/>
        </w:rPr>
        <w:t>试点区域冬小麦灌溉次数6次，灌水定额55-59m</w:t>
      </w:r>
      <w:r>
        <w:rPr>
          <w:rFonts w:ascii="Calibri" w:hAnsi="Calibri" w:cs="Calibri"/>
        </w:rPr>
        <w:t>³</w:t>
      </w:r>
      <w:r>
        <w:rPr>
          <w:rFonts w:hint="eastAsia"/>
        </w:rPr>
        <w:t>/亩，亩灌溉净用水定额暂定为342 m</w:t>
      </w:r>
      <w:r>
        <w:rPr>
          <w:rFonts w:ascii="Calibri" w:hAnsi="Calibri" w:cs="Calibri"/>
        </w:rPr>
        <w:t>³</w:t>
      </w:r>
      <w:r>
        <w:rPr>
          <w:rFonts w:hint="eastAsia"/>
        </w:rPr>
        <w:t>/亩、复播玉米灌溉次数6次，灌水定额64m</w:t>
      </w:r>
      <w:r>
        <w:rPr>
          <w:rFonts w:ascii="Calibri" w:hAnsi="Calibri" w:cs="Calibri"/>
        </w:rPr>
        <w:t>³</w:t>
      </w:r>
      <w:r>
        <w:rPr>
          <w:rFonts w:hint="eastAsia"/>
        </w:rPr>
        <w:t>/亩，亩灌溉净用水定额384 m</w:t>
      </w:r>
      <w:r>
        <w:rPr>
          <w:rFonts w:ascii="Calibri" w:hAnsi="Calibri" w:cs="Calibri"/>
        </w:rPr>
        <w:t>³</w:t>
      </w:r>
      <w:r>
        <w:rPr>
          <w:rFonts w:hint="eastAsia"/>
        </w:rPr>
        <w:t>/亩，由于洛浦县一年双季区，粮食作物年平均亩净灌溉用水定额为冬小麦+复播玉米=726m</w:t>
      </w:r>
      <w:r>
        <w:rPr>
          <w:rFonts w:ascii="Calibri" w:hAnsi="Calibri" w:cs="Calibri"/>
        </w:rPr>
        <w:t>³</w:t>
      </w:r>
      <w:r>
        <w:rPr>
          <w:rFonts w:hint="eastAsia"/>
        </w:rPr>
        <w:t>/亩，粮食作物年平均亩净灌溉用水定额见下表。</w:t>
      </w:r>
    </w:p>
    <w:p>
      <w:pPr>
        <w:widowControl/>
        <w:spacing w:after="160" w:line="278" w:lineRule="auto"/>
        <w:ind w:firstLine="0" w:firstLineChars="0"/>
      </w:pPr>
      <w:r>
        <w:br w:type="page"/>
      </w:r>
    </w:p>
    <w:p>
      <w:pPr>
        <w:ind w:firstLine="560"/>
      </w:pPr>
      <w:r>
        <w:rPr>
          <w:rFonts w:hint="eastAsia"/>
        </w:rPr>
        <w:t>2023年度确定全县农业用水净灌溉定额如下: </w:t>
      </w:r>
    </w:p>
    <w:tbl>
      <w:tblPr>
        <w:tblStyle w:val="13"/>
        <w:tblW w:w="7849" w:type="dxa"/>
        <w:tblInd w:w="279" w:type="dxa"/>
        <w:tblLayout w:type="fixed"/>
        <w:tblCellMar>
          <w:top w:w="0" w:type="dxa"/>
          <w:left w:w="0" w:type="dxa"/>
          <w:bottom w:w="0" w:type="dxa"/>
          <w:right w:w="0" w:type="dxa"/>
        </w:tblCellMar>
      </w:tblPr>
      <w:tblGrid>
        <w:gridCol w:w="1130"/>
        <w:gridCol w:w="997"/>
        <w:gridCol w:w="991"/>
        <w:gridCol w:w="876"/>
        <w:gridCol w:w="1108"/>
        <w:gridCol w:w="1033"/>
        <w:gridCol w:w="24"/>
        <w:gridCol w:w="10"/>
        <w:gridCol w:w="16"/>
        <w:gridCol w:w="17"/>
        <w:gridCol w:w="1595"/>
        <w:gridCol w:w="52"/>
      </w:tblGrid>
      <w:tr>
        <w:tblPrEx>
          <w:tblCellMar>
            <w:top w:w="0" w:type="dxa"/>
            <w:left w:w="0" w:type="dxa"/>
            <w:bottom w:w="0" w:type="dxa"/>
            <w:right w:w="0" w:type="dxa"/>
          </w:tblCellMar>
        </w:tblPrEx>
        <w:trPr>
          <w:gridAfter w:val="1"/>
          <w:wAfter w:w="52" w:type="dxa"/>
          <w:trHeight w:val="649" w:hRule="atLeast"/>
        </w:trPr>
        <w:tc>
          <w:tcPr>
            <w:tcW w:w="1130" w:type="dxa"/>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作物种类</w:t>
            </w:r>
          </w:p>
        </w:tc>
        <w:tc>
          <w:tcPr>
            <w:tcW w:w="99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灌水方法</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生长期</w:t>
            </w:r>
          </w:p>
        </w:tc>
        <w:tc>
          <w:tcPr>
            <w:tcW w:w="8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3"/>
            </w:pPr>
            <w:r>
              <w:rPr>
                <w:rFonts w:hint="eastAsia"/>
              </w:rPr>
              <w:t>灌水次数</w:t>
            </w:r>
          </w:p>
        </w:tc>
        <w:tc>
          <w:tcPr>
            <w:tcW w:w="2173"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灌水延续时间</w:t>
            </w:r>
          </w:p>
        </w:tc>
        <w:tc>
          <w:tcPr>
            <w:tcW w:w="162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3"/>
            </w:pPr>
            <w:r>
              <w:rPr>
                <w:rFonts w:hint="eastAsia"/>
              </w:rPr>
              <w:t>灌水定额m</w:t>
            </w:r>
            <w:r>
              <w:t>³</w:t>
            </w:r>
            <w:r>
              <w:rPr>
                <w:rFonts w:hint="eastAsia"/>
              </w:rPr>
              <w:t>/亩)</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r>
              <w:rPr>
                <w:rFonts w:hint="eastAsia"/>
              </w:rPr>
              <w:t>冬小麦</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播前水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9月15日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10月1日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冬灌</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返青</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2月25日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3月27日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拨节</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3月28日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4月19日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抽穗</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4月20日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5月8日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59</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灌浆</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5月9日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5月31日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59</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r>
              <w:rPr>
                <w:rFonts w:hint="eastAsia"/>
              </w:rPr>
              <w:t>正播玉米</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播前水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3月25日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三叶</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4月20日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拨节</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5月5日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抽穗</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5月20日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5月31日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灌浆</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6月25日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68</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r>
              <w:rPr>
                <w:rFonts w:hint="eastAsia"/>
              </w:rPr>
              <w:t>复播玉米</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播前水</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播前水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6月20日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三叶</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6月20日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拨节</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7月20日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抽穗</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7月20日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灌浆</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8月30日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bottom w:val="nil"/>
              <w:right w:val="single" w:color="auto" w:sz="4" w:space="0"/>
            </w:tcBorders>
            <w:shd w:val="clear" w:color="auto" w:fill="E2EFDA"/>
            <w:noWrap/>
            <w:tcMar>
              <w:top w:w="15" w:type="dxa"/>
              <w:left w:w="15" w:type="dxa"/>
              <w:right w:w="15" w:type="dxa"/>
            </w:tcMar>
            <w:vAlign w:val="center"/>
          </w:tcPr>
          <w:p>
            <w:pPr>
              <w:pStyle w:val="23"/>
            </w:pPr>
            <w:r>
              <w:rPr>
                <w:rFonts w:hint="eastAsia"/>
              </w:rPr>
              <w:t>棉花</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播前水</w:t>
            </w:r>
          </w:p>
        </w:tc>
        <w:tc>
          <w:tcPr>
            <w:tcW w:w="876"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12月2日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1月15日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E2EFDA"/>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现蕾</w:t>
            </w:r>
          </w:p>
        </w:tc>
        <w:tc>
          <w:tcPr>
            <w:tcW w:w="876"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5月25日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6月10日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E2EFDA"/>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开花</w:t>
            </w:r>
          </w:p>
        </w:tc>
        <w:tc>
          <w:tcPr>
            <w:tcW w:w="876"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6月11日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6月30日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E2EFDA"/>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结铃</w:t>
            </w:r>
          </w:p>
        </w:tc>
        <w:tc>
          <w:tcPr>
            <w:tcW w:w="876"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7月10日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7月30日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E2EFDA"/>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吐絮</w:t>
            </w:r>
          </w:p>
        </w:tc>
        <w:tc>
          <w:tcPr>
            <w:tcW w:w="876"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8月10日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8月30日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r>
              <w:rPr>
                <w:rFonts w:hint="eastAsia"/>
              </w:rPr>
              <w:t>合计</w:t>
            </w:r>
          </w:p>
        </w:tc>
        <w:tc>
          <w:tcPr>
            <w:tcW w:w="876"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1109" w:type="dxa"/>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1058" w:type="dxa"/>
            <w:gridSpan w:val="2"/>
            <w:tcBorders>
              <w:top w:val="single" w:color="auto" w:sz="4" w:space="0"/>
              <w:left w:val="single" w:color="auto" w:sz="4" w:space="0"/>
              <w:bottom w:val="single" w:color="auto" w:sz="4" w:space="0"/>
              <w:right w:val="single" w:color="auto" w:sz="4" w:space="0"/>
            </w:tcBorders>
            <w:shd w:val="clear" w:color="auto" w:fill="E2EFDA"/>
            <w:noWrap/>
            <w:tcMar>
              <w:top w:w="15" w:type="dxa"/>
              <w:left w:w="15" w:type="dxa"/>
              <w:right w:w="15" w:type="dxa"/>
            </w:tcMar>
            <w:vAlign w:val="center"/>
          </w:tcPr>
          <w:p>
            <w:pPr>
              <w:pStyle w:val="23"/>
            </w:pP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400</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r>
              <w:rPr>
                <w:rFonts w:hint="eastAsia"/>
              </w:rPr>
              <w:t>园地</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第一次水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第二次水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6月20日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7月20日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第三次水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7月21日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8月20日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第四次水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8月21日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第五次水</w:t>
            </w: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90</w:t>
            </w:r>
          </w:p>
        </w:tc>
      </w:tr>
      <w:tr>
        <w:tblPrEx>
          <w:tblCellMar>
            <w:top w:w="0" w:type="dxa"/>
            <w:left w:w="0" w:type="dxa"/>
            <w:bottom w:w="0" w:type="dxa"/>
            <w:right w:w="0" w:type="dxa"/>
          </w:tblCellMar>
        </w:tblPrEx>
        <w:trPr>
          <w:gridAfter w:val="1"/>
          <w:wAfter w:w="52" w:type="dxa"/>
          <w:trHeight w:val="150" w:hRule="atLeast"/>
        </w:trPr>
        <w:tc>
          <w:tcPr>
            <w:tcW w:w="1130" w:type="dxa"/>
            <w:vMerge w:val="restart"/>
            <w:tcBorders>
              <w:top w:val="single" w:color="auto" w:sz="4" w:space="0"/>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r>
              <w:rPr>
                <w:rFonts w:hint="eastAsia"/>
              </w:rPr>
              <w:t>林地</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nil"/>
              <w:left w:val="single" w:color="auto" w:sz="4" w:space="0"/>
              <w:bottom w:val="nil"/>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12月31日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215</w:t>
            </w:r>
          </w:p>
        </w:tc>
      </w:tr>
      <w:tr>
        <w:tblPrEx>
          <w:tblCellMar>
            <w:top w:w="0" w:type="dxa"/>
            <w:left w:w="0" w:type="dxa"/>
            <w:bottom w:w="0" w:type="dxa"/>
            <w:right w:w="0" w:type="dxa"/>
          </w:tblCellMar>
        </w:tblPrEx>
        <w:trPr>
          <w:gridAfter w:val="1"/>
          <w:wAfter w:w="52" w:type="dxa"/>
          <w:trHeight w:val="226" w:hRule="atLeast"/>
        </w:trPr>
        <w:tc>
          <w:tcPr>
            <w:tcW w:w="1130"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瓜菜</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66</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7月16日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8月25日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66</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9月20日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66</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10月1日</w:t>
            </w:r>
          </w:p>
        </w:tc>
        <w:tc>
          <w:tcPr>
            <w:tcW w:w="105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10月31日</w:t>
            </w:r>
          </w:p>
        </w:tc>
        <w:tc>
          <w:tcPr>
            <w:tcW w:w="1635"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66</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核桃</w:t>
            </w:r>
          </w:p>
        </w:tc>
        <w:tc>
          <w:tcPr>
            <w:tcW w:w="997"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4月10日</w:t>
            </w:r>
          </w:p>
        </w:tc>
        <w:tc>
          <w:tcPr>
            <w:tcW w:w="10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5月1日</w:t>
            </w:r>
          </w:p>
        </w:tc>
        <w:tc>
          <w:tcPr>
            <w:tcW w:w="165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72</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5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0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59"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70</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70</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70</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11月1日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73</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红枣</w:t>
            </w:r>
          </w:p>
        </w:tc>
        <w:tc>
          <w:tcPr>
            <w:tcW w:w="997"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4月10日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64</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67</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65</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11月20日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12月15日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68</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葡萄</w:t>
            </w:r>
          </w:p>
        </w:tc>
        <w:tc>
          <w:tcPr>
            <w:tcW w:w="997"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2月25日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3月27日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58</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3月28日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4月19日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58</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4月20日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5月8日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59</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5月9日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5月31日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59</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58</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58</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11月1日</w:t>
            </w:r>
          </w:p>
        </w:tc>
        <w:tc>
          <w:tcPr>
            <w:tcW w:w="1084"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11月30日</w:t>
            </w:r>
          </w:p>
        </w:tc>
        <w:tc>
          <w:tcPr>
            <w:tcW w:w="160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60</w:t>
            </w:r>
          </w:p>
        </w:tc>
      </w:tr>
      <w:tr>
        <w:tblPrEx>
          <w:tblCellMar>
            <w:top w:w="0" w:type="dxa"/>
            <w:left w:w="0" w:type="dxa"/>
            <w:bottom w:w="0" w:type="dxa"/>
            <w:right w:w="0" w:type="dxa"/>
          </w:tblCellMar>
        </w:tblPrEx>
        <w:trPr>
          <w:trHeight w:val="20" w:hRule="atLeast"/>
        </w:trPr>
        <w:tc>
          <w:tcPr>
            <w:tcW w:w="1130"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苜蓿</w:t>
            </w:r>
          </w:p>
        </w:tc>
        <w:tc>
          <w:tcPr>
            <w:tcW w:w="997"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4月10日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62</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62</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62</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61</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9月30日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61</w:t>
            </w:r>
          </w:p>
        </w:tc>
      </w:tr>
      <w:tr>
        <w:tblPrEx>
          <w:tblCellMar>
            <w:top w:w="0" w:type="dxa"/>
            <w:left w:w="0" w:type="dxa"/>
            <w:bottom w:w="0" w:type="dxa"/>
            <w:right w:w="0" w:type="dxa"/>
          </w:tblCellMar>
        </w:tblPrEx>
        <w:trPr>
          <w:trHeight w:val="20" w:hRule="atLeast"/>
        </w:trPr>
        <w:tc>
          <w:tcPr>
            <w:tcW w:w="1130"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11月20日</w:t>
            </w:r>
          </w:p>
        </w:tc>
        <w:tc>
          <w:tcPr>
            <w:tcW w:w="110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12月15日</w:t>
            </w:r>
          </w:p>
        </w:tc>
        <w:tc>
          <w:tcPr>
            <w:tcW w:w="164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62</w:t>
            </w:r>
          </w:p>
        </w:tc>
      </w:tr>
      <w:tr>
        <w:tblPrEx>
          <w:tblCellMar>
            <w:top w:w="0" w:type="dxa"/>
            <w:left w:w="0" w:type="dxa"/>
            <w:bottom w:w="0" w:type="dxa"/>
            <w:right w:w="0" w:type="dxa"/>
          </w:tblCellMar>
        </w:tblPrEx>
        <w:trPr>
          <w:gridAfter w:val="1"/>
          <w:wAfter w:w="52" w:type="dxa"/>
          <w:trHeight w:val="20" w:hRule="atLeast"/>
        </w:trPr>
        <w:tc>
          <w:tcPr>
            <w:tcW w:w="1130"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防护生态苗圃</w:t>
            </w:r>
          </w:p>
        </w:tc>
        <w:tc>
          <w:tcPr>
            <w:tcW w:w="997"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小畦灌</w:t>
            </w: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4月10日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5月1日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2</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6月10日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3</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7月1日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7月30日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4</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8月1日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8月30日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9月1日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9月30日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50</w:t>
            </w:r>
          </w:p>
        </w:tc>
      </w:tr>
      <w:tr>
        <w:tblPrEx>
          <w:tblCellMar>
            <w:top w:w="0" w:type="dxa"/>
            <w:left w:w="0" w:type="dxa"/>
            <w:bottom w:w="0" w:type="dxa"/>
            <w:right w:w="0" w:type="dxa"/>
          </w:tblCellMar>
        </w:tblPrEx>
        <w:trPr>
          <w:gridAfter w:val="1"/>
          <w:wAfter w:w="52" w:type="dxa"/>
          <w:trHeight w:val="20" w:hRule="atLeast"/>
        </w:trPr>
        <w:tc>
          <w:tcPr>
            <w:tcW w:w="1130"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7"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9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p>
        </w:tc>
        <w:tc>
          <w:tcPr>
            <w:tcW w:w="87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6</w:t>
            </w:r>
          </w:p>
        </w:tc>
        <w:tc>
          <w:tcPr>
            <w:tcW w:w="1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11月20日</w:t>
            </w:r>
          </w:p>
        </w:tc>
        <w:tc>
          <w:tcPr>
            <w:tcW w:w="106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12月15日</w:t>
            </w:r>
          </w:p>
        </w:tc>
        <w:tc>
          <w:tcPr>
            <w:tcW w:w="162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23"/>
            </w:pPr>
            <w:r>
              <w:rPr>
                <w:rFonts w:hint="eastAsia"/>
              </w:rPr>
              <w:t>50</w:t>
            </w:r>
          </w:p>
        </w:tc>
      </w:tr>
    </w:tbl>
    <w:p>
      <w:pPr>
        <w:pStyle w:val="3"/>
      </w:pPr>
      <w:bookmarkStart w:id="33" w:name="_Toc164082420"/>
      <w:r>
        <w:t>4.3现状分区灌溉水利用系数分析</w:t>
      </w:r>
      <w:bookmarkEnd w:id="33"/>
    </w:p>
    <w:p>
      <w:pPr>
        <w:ind w:firstLine="560"/>
      </w:pPr>
      <w:r>
        <w:rPr>
          <w:rFonts w:hint="eastAsia"/>
        </w:rPr>
        <w:t>根据洛浦县水利局提供的《2023年洛浦县农田灌溉水有效利用系数测算分析成果报告》和田地区洛浦县灌区</w:t>
      </w:r>
      <w:bookmarkStart w:id="34" w:name="_Hlk164109583"/>
      <w:bookmarkStart w:id="35" w:name="_Hlk164109610"/>
      <w:r>
        <w:rPr>
          <w:rFonts w:hint="eastAsia"/>
        </w:rPr>
        <w:t>灌溉水有效利用系数</w:t>
      </w:r>
      <w:bookmarkEnd w:id="34"/>
      <w:r>
        <w:rPr>
          <w:rFonts w:hint="eastAsia"/>
        </w:rPr>
        <w:t>为0.5</w:t>
      </w:r>
      <w:bookmarkEnd w:id="35"/>
      <w:r>
        <w:rPr>
          <w:rFonts w:hint="eastAsia"/>
        </w:rPr>
        <w:t>698。</w:t>
      </w:r>
    </w:p>
    <w:p>
      <w:pPr>
        <w:pStyle w:val="2"/>
      </w:pPr>
      <w:bookmarkStart w:id="36" w:name="_Toc164082421"/>
      <w:r>
        <w:t>5 计划灌溉用水定额制定</w:t>
      </w:r>
      <w:bookmarkEnd w:id="36"/>
    </w:p>
    <w:p>
      <w:pPr>
        <w:pStyle w:val="3"/>
      </w:pPr>
      <w:bookmarkStart w:id="37" w:name="_Toc164082422"/>
      <w:r>
        <w:t>5.1理论用水定额分析</w:t>
      </w:r>
      <w:bookmarkEnd w:id="37"/>
    </w:p>
    <w:p>
      <w:pPr>
        <w:pStyle w:val="4"/>
      </w:pPr>
      <w:bookmarkStart w:id="38" w:name="_Toc164082423"/>
      <w:r>
        <w:rPr>
          <w:rFonts w:hint="eastAsia"/>
        </w:rPr>
        <w:t xml:space="preserve">5.1.1 </w:t>
      </w:r>
      <w:r>
        <w:t>洛浦县灌溉水有效利用系数的测算</w:t>
      </w:r>
      <w:bookmarkEnd w:id="38"/>
    </w:p>
    <w:p>
      <w:pPr>
        <w:ind w:firstLine="560"/>
      </w:pPr>
      <w:r>
        <w:t>按照《技术指南》要求，</w:t>
      </w:r>
      <w:r>
        <w:rPr>
          <w:rFonts w:hint="eastAsia"/>
        </w:rPr>
        <w:t>和田地区</w:t>
      </w:r>
      <w:r>
        <w:t>采用了“首尾测算分析法”来计算灌区农田灌溉水有效利用系数。首先选择各个灌区典型田块，测算典型田块亩均净灌溉用水量、灌区年净灌溉用水总量测算、灌区年毛灌溉用水总量，最后计算灌区灌溉水有效利用系数。</w:t>
      </w:r>
    </w:p>
    <w:p>
      <w:pPr>
        <w:ind w:firstLine="560"/>
        <w:jc w:val="both"/>
        <w:rPr>
          <w:rFonts w:ascii="Calibri" w:hAnsi="Calibri" w:eastAsia="仿宋_GB2312" w:cs="Times New Roman"/>
          <w:szCs w:val="28"/>
          <w14:ligatures w14:val="none"/>
        </w:rPr>
      </w:pPr>
      <w:r>
        <w:rPr>
          <w:rFonts w:hint="eastAsia" w:ascii="Calibri" w:hAnsi="Calibri" w:eastAsia="仿宋_GB2312" w:cs="Times New Roman"/>
          <w:szCs w:val="28"/>
          <w14:ligatures w14:val="none"/>
        </w:rPr>
        <w:t>测算流程见图5.1。</w:t>
      </w:r>
    </w:p>
    <w:p>
      <w:pPr>
        <w:ind w:firstLine="0" w:firstLineChars="0"/>
        <w:jc w:val="center"/>
        <w:rPr>
          <w:rFonts w:ascii="Calibri" w:hAnsi="Calibri" w:eastAsia="宋体" w:cs="Times New Roman"/>
          <w:sz w:val="24"/>
          <w:szCs w:val="24"/>
          <w14:ligatures w14:val="none"/>
        </w:rPr>
      </w:pPr>
      <w:r>
        <w:rPr>
          <w:rFonts w:ascii="Calibri" w:hAnsi="Calibri" w:eastAsia="宋体" w:cs="Times New Roman"/>
          <w:szCs w:val="28"/>
          <w14:ligatures w14:val="none"/>
        </w:rPr>
        <w:drawing>
          <wp:inline distT="0" distB="0" distL="0" distR="0">
            <wp:extent cx="4389120" cy="2765425"/>
            <wp:effectExtent l="0" t="0" r="1143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89120" cy="2765425"/>
                    </a:xfrm>
                    <a:prstGeom prst="rect">
                      <a:avLst/>
                    </a:prstGeom>
                    <a:noFill/>
                    <a:ln>
                      <a:noFill/>
                    </a:ln>
                  </pic:spPr>
                </pic:pic>
              </a:graphicData>
            </a:graphic>
          </wp:inline>
        </w:drawing>
      </w:r>
    </w:p>
    <w:p>
      <w:pPr>
        <w:pStyle w:val="22"/>
      </w:pPr>
      <w:r>
        <w:t>图</w:t>
      </w:r>
      <w:r>
        <w:rPr>
          <w:rFonts w:hint="eastAsia"/>
        </w:rPr>
        <w:t xml:space="preserve">5.1 </w:t>
      </w:r>
      <w:r>
        <w:t xml:space="preserve"> 灌区灌溉水有效利用系数直接法工作流程</w:t>
      </w:r>
    </w:p>
    <w:p>
      <w:pPr>
        <w:ind w:firstLine="560"/>
      </w:pPr>
      <w:r>
        <w:rPr>
          <w:rFonts w:hint="eastAsia"/>
        </w:rPr>
        <w:t>典型田块亩均净灌溉用水量测算具体方法见图5.2</w:t>
      </w:r>
    </w:p>
    <w:p>
      <w:pPr>
        <w:ind w:firstLine="0" w:firstLineChars="0"/>
        <w:jc w:val="center"/>
        <w:rPr>
          <w:rFonts w:ascii="Calibri" w:hAnsi="Calibri" w:eastAsia="宋体" w:cs="Times New Roman"/>
          <w:sz w:val="24"/>
          <w:szCs w:val="24"/>
          <w14:ligatures w14:val="none"/>
        </w:rPr>
      </w:pPr>
      <w:r>
        <w:rPr>
          <w:rFonts w:ascii="Calibri" w:hAnsi="Calibri" w:eastAsia="宋体" w:cs="Times New Roman"/>
          <w:szCs w:val="28"/>
          <w14:ligatures w14:val="none"/>
        </w:rPr>
        <w:drawing>
          <wp:inline distT="0" distB="0" distL="0" distR="0">
            <wp:extent cx="4520565" cy="2194560"/>
            <wp:effectExtent l="0" t="0" r="1333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20565" cy="2194560"/>
                    </a:xfrm>
                    <a:prstGeom prst="rect">
                      <a:avLst/>
                    </a:prstGeom>
                    <a:noFill/>
                    <a:ln>
                      <a:noFill/>
                    </a:ln>
                  </pic:spPr>
                </pic:pic>
              </a:graphicData>
            </a:graphic>
          </wp:inline>
        </w:drawing>
      </w:r>
    </w:p>
    <w:p>
      <w:pPr>
        <w:pStyle w:val="22"/>
      </w:pPr>
      <w:r>
        <w:t>图</w:t>
      </w:r>
      <w:r>
        <w:rPr>
          <w:rFonts w:hint="eastAsia"/>
        </w:rPr>
        <w:t>5.2</w:t>
      </w:r>
      <w:r>
        <w:t>典型田块年亩均净灌溉用水量观测与分析方法流程图</w:t>
      </w:r>
    </w:p>
    <w:p>
      <w:pPr>
        <w:ind w:firstLine="560"/>
      </w:pPr>
      <w:r>
        <w:rPr>
          <w:rFonts w:hint="eastAsia"/>
        </w:rPr>
        <w:t>具体计算如下：</w:t>
      </w:r>
    </w:p>
    <w:p>
      <w:pPr>
        <w:ind w:firstLine="560"/>
      </w:pPr>
      <w:r>
        <w:t>（1）根据典型田块灌溉前后计划湿润层土壤含水率的变化确定某次亩均净灌溉用水量，计算公式如下：</w:t>
      </w:r>
    </w:p>
    <w:p>
      <w:pPr>
        <w:ind w:firstLine="480"/>
        <w:rPr>
          <w:rFonts w:eastAsia="宋体"/>
          <w:color w:val="000000"/>
          <w:sz w:val="24"/>
          <w:szCs w:val="24"/>
        </w:rPr>
      </w:pPr>
      <w:r>
        <w:rPr>
          <w:rFonts w:eastAsia="宋体"/>
          <w:color w:val="000000"/>
          <w:sz w:val="24"/>
          <w:szCs w:val="24"/>
        </w:rPr>
        <w:object>
          <v:shape id="_x0000_i1025" o:spt="75" type="#_x0000_t75" style="height:18.55pt;width:125.45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p>
    <w:p>
      <w:pPr>
        <w:ind w:firstLine="560"/>
        <w:rPr>
          <w:rFonts w:ascii="仿宋" w:hAnsi="仿宋"/>
          <w:color w:val="000000"/>
        </w:rPr>
      </w:pPr>
      <w:r>
        <w:rPr>
          <w:rFonts w:ascii="仿宋" w:hAnsi="仿宋"/>
          <w:color w:val="000000"/>
        </w:rPr>
        <w:t xml:space="preserve">式中  </w:t>
      </w:r>
      <w:r>
        <w:rPr>
          <w:rFonts w:ascii="仿宋" w:hAnsi="仿宋"/>
          <w:color w:val="000000"/>
        </w:rPr>
        <w:object>
          <v:shape id="_x0000_i1026" o:spt="75" type="#_x0000_t75" style="height:18.55pt;width:26.75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18">
            <o:LockedField>false</o:LockedField>
          </o:OLEObject>
        </w:object>
      </w:r>
      <w:r>
        <w:rPr>
          <w:rFonts w:ascii="仿宋" w:hAnsi="仿宋"/>
          <w:color w:val="000000"/>
        </w:rPr>
        <w:t>——典型田块某次亩均净灌溉用水量，m</w:t>
      </w:r>
      <w:r>
        <w:rPr>
          <w:rFonts w:ascii="仿宋" w:hAnsi="仿宋"/>
          <w:color w:val="000000"/>
          <w:vertAlign w:val="superscript"/>
        </w:rPr>
        <w:t>3</w:t>
      </w:r>
      <w:r>
        <w:rPr>
          <w:rFonts w:ascii="仿宋" w:hAnsi="仿宋"/>
          <w:color w:val="000000"/>
        </w:rPr>
        <w:t>/亩；</w:t>
      </w:r>
    </w:p>
    <w:p>
      <w:pPr>
        <w:ind w:firstLine="560"/>
        <w:rPr>
          <w:rFonts w:ascii="仿宋" w:hAnsi="仿宋"/>
          <w:color w:val="000000"/>
        </w:rPr>
      </w:pPr>
      <w:r>
        <w:rPr>
          <w:rFonts w:ascii="仿宋" w:hAnsi="仿宋"/>
          <w:color w:val="000000"/>
        </w:rPr>
        <w:object>
          <v:shape id="_x0000_i1027" o:spt="75" type="#_x0000_t75" style="height:12.55pt;width:12.55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0">
            <o:LockedField>false</o:LockedField>
          </o:OLEObject>
        </w:object>
      </w:r>
      <w:r>
        <w:rPr>
          <w:rFonts w:ascii="仿宋" w:hAnsi="仿宋"/>
          <w:color w:val="000000"/>
        </w:rPr>
        <w:t>——灌水期内典型田块土壤计划湿润层深度，mm；</w:t>
      </w:r>
    </w:p>
    <w:p>
      <w:pPr>
        <w:ind w:firstLine="560"/>
        <w:rPr>
          <w:rFonts w:ascii="仿宋" w:hAnsi="仿宋"/>
          <w:color w:val="000000"/>
        </w:rPr>
      </w:pPr>
      <w:r>
        <w:rPr>
          <w:rFonts w:ascii="仿宋" w:hAnsi="仿宋"/>
          <w:color w:val="000000"/>
        </w:rPr>
        <w:object>
          <v:shape id="_x0000_i1028" o:spt="75" type="#_x0000_t75" style="height:18pt;width:15.25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28" r:id="rId22">
            <o:LockedField>false</o:LockedField>
          </o:OLEObject>
        </w:object>
      </w:r>
      <w:r>
        <w:rPr>
          <w:rFonts w:ascii="仿宋" w:hAnsi="仿宋"/>
          <w:color w:val="000000"/>
        </w:rPr>
        <w:t>——某次灌水前典型田块H土层内土壤体积含水率，%；</w:t>
      </w:r>
    </w:p>
    <w:p>
      <w:pPr>
        <w:ind w:firstLine="560"/>
        <w:rPr>
          <w:rFonts w:ascii="仿宋" w:hAnsi="仿宋"/>
          <w:color w:val="000000"/>
        </w:rPr>
      </w:pPr>
      <w:r>
        <w:rPr>
          <w:rFonts w:ascii="仿宋" w:hAnsi="仿宋"/>
          <w:color w:val="000000"/>
        </w:rPr>
        <w:object>
          <v:shape id="_x0000_i1029" o:spt="75" type="#_x0000_t75" style="height:18pt;width:18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24">
            <o:LockedField>false</o:LockedField>
          </o:OLEObject>
        </w:object>
      </w:r>
      <w:r>
        <w:rPr>
          <w:rFonts w:ascii="仿宋" w:hAnsi="仿宋"/>
          <w:color w:val="000000"/>
        </w:rPr>
        <w:t>——某次灌水后典型田块H土层内土壤体积含水率，%。</w:t>
      </w:r>
    </w:p>
    <w:p>
      <w:pPr>
        <w:ind w:firstLine="560"/>
        <w:rPr>
          <w:rFonts w:ascii="仿宋" w:hAnsi="仿宋"/>
          <w:color w:val="000000"/>
        </w:rPr>
      </w:pPr>
      <w:r>
        <w:rPr>
          <w:rFonts w:ascii="仿宋" w:hAnsi="仿宋"/>
          <w:color w:val="000000"/>
        </w:rPr>
        <w:t>（2）在各次亩均净灌溉用水量</w:t>
      </w:r>
      <w:r>
        <w:rPr>
          <w:rFonts w:hint="eastAsia" w:ascii="仿宋" w:hAnsi="仿宋"/>
          <w:color w:val="000000"/>
        </w:rPr>
        <w:t>W</w:t>
      </w:r>
      <w:r>
        <w:rPr>
          <w:rFonts w:hint="eastAsia" w:ascii="仿宋" w:hAnsi="仿宋"/>
          <w:color w:val="000000"/>
          <w:vertAlign w:val="subscript"/>
        </w:rPr>
        <w:t>田净i</w:t>
      </w:r>
      <w:r>
        <w:rPr>
          <w:rFonts w:ascii="仿宋" w:hAnsi="仿宋"/>
          <w:color w:val="000000"/>
        </w:rPr>
        <w:t>的基础上，推算该作物年亩均净灌溉用水量</w:t>
      </w:r>
      <w:r>
        <w:rPr>
          <w:rFonts w:hint="eastAsia" w:ascii="仿宋" w:hAnsi="仿宋"/>
          <w:color w:val="000000"/>
        </w:rPr>
        <w:t>W</w:t>
      </w:r>
      <w:r>
        <w:rPr>
          <w:rFonts w:hint="eastAsia" w:ascii="仿宋" w:hAnsi="仿宋"/>
          <w:color w:val="000000"/>
          <w:vertAlign w:val="subscript"/>
        </w:rPr>
        <w:t>田净</w:t>
      </w:r>
      <w:r>
        <w:rPr>
          <w:rFonts w:ascii="仿宋" w:hAnsi="仿宋"/>
          <w:color w:val="000000"/>
        </w:rPr>
        <w:t>，即计算公式如下：</w:t>
      </w:r>
    </w:p>
    <w:p>
      <w:pPr>
        <w:ind w:firstLine="480"/>
        <w:rPr>
          <w:rFonts w:eastAsia="宋体"/>
          <w:color w:val="000000"/>
          <w:sz w:val="24"/>
          <w:szCs w:val="24"/>
        </w:rPr>
      </w:pPr>
      <w:r>
        <w:rPr>
          <w:rFonts w:eastAsia="宋体"/>
          <w:color w:val="000000"/>
          <w:sz w:val="24"/>
          <w:szCs w:val="24"/>
        </w:rPr>
        <w:object>
          <v:shape id="_x0000_i1030" o:spt="75" type="#_x0000_t75" style="height:33.8pt;width:75.8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26">
            <o:LockedField>false</o:LockedField>
          </o:OLEObject>
        </w:object>
      </w:r>
    </w:p>
    <w:p>
      <w:pPr>
        <w:ind w:firstLine="560"/>
        <w:rPr>
          <w:rFonts w:ascii="仿宋" w:hAnsi="仿宋"/>
          <w:color w:val="000000"/>
        </w:rPr>
      </w:pPr>
      <w:r>
        <w:rPr>
          <w:rFonts w:ascii="仿宋" w:hAnsi="仿宋"/>
          <w:color w:val="000000"/>
        </w:rPr>
        <w:t>式中</w:t>
      </w:r>
      <w:r>
        <w:rPr>
          <w:rFonts w:hint="eastAsia" w:ascii="仿宋" w:hAnsi="仿宋"/>
          <w:color w:val="000000"/>
        </w:rPr>
        <w:t>W</w:t>
      </w:r>
      <w:r>
        <w:rPr>
          <w:rFonts w:hint="eastAsia" w:ascii="仿宋" w:hAnsi="仿宋"/>
          <w:color w:val="000000"/>
          <w:vertAlign w:val="subscript"/>
        </w:rPr>
        <w:t>田净</w:t>
      </w:r>
      <w:r>
        <w:rPr>
          <w:rFonts w:ascii="仿宋" w:hAnsi="仿宋"/>
          <w:color w:val="000000"/>
        </w:rPr>
        <w:t>——某典型田块某作物年亩均净灌溉用水量，m</w:t>
      </w:r>
      <w:r>
        <w:rPr>
          <w:rFonts w:ascii="仿宋" w:hAnsi="仿宋"/>
          <w:color w:val="000000"/>
          <w:vertAlign w:val="superscript"/>
        </w:rPr>
        <w:t>3</w:t>
      </w:r>
      <w:r>
        <w:rPr>
          <w:rFonts w:ascii="仿宋" w:hAnsi="仿宋"/>
          <w:color w:val="000000"/>
        </w:rPr>
        <w:t>/亩；</w:t>
      </w:r>
    </w:p>
    <w:p>
      <w:pPr>
        <w:ind w:firstLine="560"/>
        <w:rPr>
          <w:rFonts w:ascii="仿宋" w:hAnsi="仿宋"/>
          <w:color w:val="000000"/>
        </w:rPr>
      </w:pPr>
      <w:r>
        <w:rPr>
          <w:rFonts w:ascii="仿宋" w:hAnsi="仿宋"/>
          <w:color w:val="000000"/>
        </w:rPr>
        <w:t xml:space="preserve">        n ——典型田块年内灌水次数，次；</w:t>
      </w:r>
    </w:p>
    <w:p>
      <w:pPr>
        <w:ind w:firstLine="560"/>
        <w:rPr>
          <w:rFonts w:ascii="仿宋" w:hAnsi="仿宋"/>
          <w:color w:val="000000"/>
        </w:rPr>
      </w:pPr>
      <w:r>
        <w:rPr>
          <w:rFonts w:ascii="仿宋" w:hAnsi="仿宋"/>
          <w:color w:val="000000"/>
        </w:rPr>
        <w:t>（3）根据前面方法得出的某种作物典型田块的年亩均净灌溉用水量</w:t>
      </w:r>
      <w:r>
        <w:rPr>
          <w:rFonts w:hint="eastAsia" w:ascii="仿宋" w:hAnsi="仿宋"/>
          <w:color w:val="000000"/>
        </w:rPr>
        <w:t>W</w:t>
      </w:r>
      <w:r>
        <w:rPr>
          <w:rFonts w:hint="eastAsia" w:ascii="仿宋" w:hAnsi="仿宋"/>
          <w:color w:val="000000"/>
          <w:vertAlign w:val="subscript"/>
        </w:rPr>
        <w:t>田净</w:t>
      </w:r>
      <w:r>
        <w:rPr>
          <w:rFonts w:ascii="仿宋" w:hAnsi="仿宋"/>
          <w:color w:val="000000"/>
        </w:rPr>
        <w:t>，结合该片区或灌溉类型相应作物典型田块的面积A</w:t>
      </w:r>
      <w:r>
        <w:rPr>
          <w:rFonts w:ascii="仿宋" w:hAnsi="仿宋"/>
          <w:color w:val="000000"/>
          <w:vertAlign w:val="subscript"/>
        </w:rPr>
        <w:t>田</w:t>
      </w:r>
      <w:r>
        <w:rPr>
          <w:rFonts w:ascii="仿宋" w:hAnsi="仿宋"/>
          <w:color w:val="000000"/>
        </w:rPr>
        <w:t>，计算某灌区同区域或同种灌溉类型第i种作物的年净灌溉用水量，计</w:t>
      </w:r>
      <w:r>
        <w:rPr>
          <w:rFonts w:ascii="仿宋" w:hAnsi="仿宋"/>
        </w:rPr>
        <w:t>算公式如下：</w:t>
      </w:r>
    </w:p>
    <w:p>
      <w:pPr>
        <w:ind w:firstLine="480"/>
        <w:rPr>
          <w:rFonts w:eastAsia="宋体"/>
          <w:color w:val="000000"/>
          <w:sz w:val="24"/>
          <w:szCs w:val="24"/>
        </w:rPr>
      </w:pPr>
      <w:r>
        <w:rPr>
          <w:rFonts w:eastAsia="宋体"/>
          <w:color w:val="000000"/>
          <w:sz w:val="24"/>
          <w:szCs w:val="24"/>
        </w:rPr>
        <w:object>
          <v:shape id="_x0000_i1031" o:spt="75" type="#_x0000_t75" style="height:66.55pt;width:90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1" r:id="rId28">
            <o:LockedField>false</o:LockedField>
          </o:OLEObject>
        </w:object>
      </w:r>
    </w:p>
    <w:p>
      <w:pPr>
        <w:ind w:firstLine="560"/>
        <w:rPr>
          <w:rFonts w:ascii="仿宋" w:hAnsi="仿宋"/>
          <w:color w:val="000000"/>
        </w:rPr>
      </w:pPr>
      <w:r>
        <w:rPr>
          <w:rFonts w:ascii="仿宋" w:hAnsi="仿宋"/>
          <w:color w:val="000000"/>
        </w:rPr>
        <w:t xml:space="preserve">式中  </w:t>
      </w:r>
      <w:r>
        <w:rPr>
          <w:rFonts w:ascii="仿宋" w:hAnsi="仿宋"/>
          <w:color w:val="000000"/>
        </w:rPr>
        <w:object>
          <v:shape id="_x0000_i1032" o:spt="75" type="#_x0000_t75" style="height:18pt;width:12.5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ascii="仿宋" w:hAnsi="仿宋"/>
          <w:color w:val="000000"/>
        </w:rPr>
        <w:t>——灌区同片区或同灌溉类型第i种作物的亩均净灌溉用水量，m</w:t>
      </w:r>
      <w:r>
        <w:rPr>
          <w:rFonts w:ascii="仿宋" w:hAnsi="仿宋"/>
          <w:color w:val="000000"/>
          <w:vertAlign w:val="superscript"/>
        </w:rPr>
        <w:t>3</w:t>
      </w:r>
      <w:r>
        <w:rPr>
          <w:rFonts w:ascii="仿宋" w:hAnsi="仿宋"/>
          <w:color w:val="000000"/>
        </w:rPr>
        <w:t>/亩；</w:t>
      </w:r>
    </w:p>
    <w:p>
      <w:pPr>
        <w:ind w:firstLine="560"/>
        <w:rPr>
          <w:rFonts w:ascii="仿宋" w:hAnsi="仿宋"/>
          <w:color w:val="000000"/>
        </w:rPr>
      </w:pPr>
      <w:r>
        <w:rPr>
          <w:rFonts w:hint="eastAsia" w:ascii="仿宋" w:hAnsi="仿宋"/>
          <w:color w:val="000000"/>
        </w:rPr>
        <w:t>W</w:t>
      </w:r>
      <w:r>
        <w:rPr>
          <w:rFonts w:hint="eastAsia" w:ascii="仿宋" w:hAnsi="仿宋"/>
          <w:color w:val="000000"/>
          <w:vertAlign w:val="subscript"/>
        </w:rPr>
        <w:t>田净</w:t>
      </w:r>
      <w:r>
        <w:rPr>
          <w:rFonts w:ascii="仿宋" w:hAnsi="仿宋"/>
          <w:color w:val="000000"/>
        </w:rPr>
        <w:t>——同片区或同灌溉类型第i种作物第l个典型田块亩均净灌溉用水量，m</w:t>
      </w:r>
      <w:r>
        <w:rPr>
          <w:rFonts w:ascii="仿宋" w:hAnsi="仿宋"/>
          <w:color w:val="000000"/>
          <w:vertAlign w:val="superscript"/>
        </w:rPr>
        <w:t>3</w:t>
      </w:r>
      <w:r>
        <w:rPr>
          <w:rFonts w:ascii="仿宋" w:hAnsi="仿宋"/>
          <w:color w:val="000000"/>
        </w:rPr>
        <w:t>/亩；</w:t>
      </w:r>
    </w:p>
    <w:p>
      <w:pPr>
        <w:ind w:firstLine="560"/>
        <w:rPr>
          <w:rFonts w:ascii="仿宋" w:hAnsi="仿宋"/>
          <w:color w:val="000000"/>
        </w:rPr>
      </w:pPr>
      <w:r>
        <w:rPr>
          <w:rFonts w:ascii="仿宋" w:hAnsi="仿宋"/>
          <w:color w:val="000000"/>
        </w:rPr>
        <w:object>
          <v:shape id="_x0000_i1033" o:spt="75" type="#_x0000_t75" style="height:18pt;width:20.2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ascii="仿宋" w:hAnsi="仿宋"/>
          <w:color w:val="000000"/>
        </w:rPr>
        <w:t>——同片区或同灌溉类型第i种作物第l个典型田块灌溉面积，亩；</w:t>
      </w:r>
    </w:p>
    <w:p>
      <w:pPr>
        <w:ind w:firstLine="560"/>
        <w:rPr>
          <w:rFonts w:ascii="仿宋" w:hAnsi="仿宋"/>
          <w:color w:val="000000"/>
        </w:rPr>
      </w:pPr>
      <w:r>
        <w:rPr>
          <w:rFonts w:ascii="仿宋" w:hAnsi="仿宋"/>
          <w:color w:val="000000"/>
        </w:rPr>
        <w:object>
          <v:shape id="_x0000_i1034" o:spt="75" type="#_x0000_t75" style="height:12.55pt;width:12.5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rPr>
          <w:rFonts w:ascii="仿宋" w:hAnsi="仿宋"/>
          <w:color w:val="000000"/>
        </w:rPr>
        <w:t>——同片区或同灌溉类型第i种作物典型田块数量，个。</w:t>
      </w:r>
    </w:p>
    <w:p>
      <w:pPr>
        <w:ind w:firstLine="560"/>
        <w:rPr>
          <w:rFonts w:eastAsia="宋体"/>
          <w:color w:val="000000"/>
          <w:sz w:val="24"/>
          <w:szCs w:val="24"/>
        </w:rPr>
      </w:pPr>
      <w:r>
        <w:rPr>
          <w:rFonts w:ascii="仿宋" w:hAnsi="仿宋"/>
          <w:color w:val="000000"/>
        </w:rPr>
        <w:t>（4）根据灌区内不同分区不同作物种类灌溉面积，结合不同作物在不同分区的年亩均净灌溉用水量，计算得出样点灌区年净灌溉用水总量W</w:t>
      </w:r>
      <w:r>
        <w:rPr>
          <w:rFonts w:ascii="仿宋" w:hAnsi="仿宋"/>
          <w:color w:val="000000"/>
          <w:vertAlign w:val="subscript"/>
        </w:rPr>
        <w:t>净</w:t>
      </w:r>
      <w:r>
        <w:rPr>
          <w:rFonts w:ascii="仿宋" w:hAnsi="仿宋"/>
          <w:color w:val="000000"/>
        </w:rPr>
        <w:t>，计算方法如下：</w:t>
      </w:r>
    </w:p>
    <w:p>
      <w:pPr>
        <w:ind w:firstLine="480"/>
        <w:rPr>
          <w:rFonts w:eastAsia="宋体"/>
          <w:color w:val="000000"/>
          <w:sz w:val="24"/>
          <w:szCs w:val="24"/>
        </w:rPr>
      </w:pPr>
      <m:oMathPara>
        <m:oMath>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净</m:t>
              </m:r>
              <m:ctrlPr>
                <w:rPr>
                  <w:rFonts w:ascii="Cambria Math" w:hAnsi="Cambria Math" w:eastAsia="宋体"/>
                  <w:color w:val="000000"/>
                  <w:sz w:val="24"/>
                  <w:szCs w:val="24"/>
                </w:rPr>
              </m:ctrlPr>
            </m:sub>
          </m:sSub>
          <m:r>
            <m:rPr>
              <m:sty m:val="p"/>
            </m:rPr>
            <w:rPr>
              <w:rFonts w:ascii="Cambria Math" w:hAnsi="Cambria Math" w:eastAsia="宋体"/>
              <w:color w:val="000000"/>
              <w:sz w:val="24"/>
              <w:szCs w:val="24"/>
            </w:rPr>
            <w:object>
              <v:shape id="_x0000_i1035" o:spt="75" type="#_x0000_t75" style="height:18pt;width:8.75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6">
                <o:LockedField>false</o:LockedField>
              </o:OLEObject>
            </w:object>
          </m:r>
          <m:r>
            <m:rPr>
              <m:sty m:val="p"/>
            </m:rPr>
            <w:rPr>
              <w:rFonts w:ascii="Cambria Math" w:hAnsi="Cambria Math" w:eastAsia="宋体"/>
              <w:color w:val="000000"/>
              <w:sz w:val="24"/>
              <w:szCs w:val="24"/>
            </w:rPr>
            <m:t>=</m:t>
          </m:r>
          <m:nary>
            <m:naryPr>
              <m:chr m:val="∑"/>
              <m:limLoc m:val="undOvr"/>
              <m:ctrlPr>
                <w:rPr>
                  <w:rFonts w:ascii="Cambria Math" w:hAnsi="Cambria Math" w:eastAsia="宋体"/>
                  <w:color w:val="000000"/>
                  <w:sz w:val="24"/>
                  <w:szCs w:val="24"/>
                </w:rPr>
              </m:ctrlPr>
            </m:naryPr>
            <m:sub>
              <m:r>
                <m:rPr>
                  <m:sty m:val="p"/>
                </m:rPr>
                <w:rPr>
                  <w:rFonts w:ascii="Cambria Math" w:hAnsi="Cambria Math" w:eastAsia="宋体"/>
                  <w:color w:val="000000"/>
                  <w:sz w:val="24"/>
                  <w:szCs w:val="24"/>
                </w:rPr>
                <m:t>j=1</m:t>
              </m:r>
              <m:ctrlPr>
                <w:rPr>
                  <w:rFonts w:ascii="Cambria Math" w:hAnsi="Cambria Math" w:eastAsia="宋体"/>
                  <w:color w:val="000000"/>
                  <w:sz w:val="24"/>
                  <w:szCs w:val="24"/>
                </w:rPr>
              </m:ctrlPr>
            </m:sub>
            <m:sup>
              <m:r>
                <m:rPr>
                  <m:sty m:val="p"/>
                </m:rPr>
                <w:rPr>
                  <w:rFonts w:ascii="Cambria Math" w:hAnsi="Cambria Math" w:eastAsia="宋体"/>
                  <w:color w:val="000000"/>
                  <w:sz w:val="24"/>
                  <w:szCs w:val="24"/>
                </w:rPr>
                <m:t>n</m:t>
              </m:r>
              <m:ctrlPr>
                <w:rPr>
                  <w:rFonts w:ascii="Cambria Math" w:hAnsi="Cambria Math" w:eastAsia="宋体"/>
                  <w:color w:val="000000"/>
                  <w:sz w:val="24"/>
                  <w:szCs w:val="24"/>
                </w:rPr>
              </m:ctrlPr>
            </m:sup>
            <m:e>
              <m:nary>
                <m:naryPr>
                  <m:chr m:val="∑"/>
                  <m:limLoc m:val="undOvr"/>
                  <m:ctrlPr>
                    <w:rPr>
                      <w:rFonts w:ascii="Cambria Math" w:hAnsi="Cambria Math" w:eastAsia="宋体"/>
                      <w:color w:val="000000"/>
                      <w:sz w:val="24"/>
                      <w:szCs w:val="24"/>
                    </w:rPr>
                  </m:ctrlPr>
                </m:naryPr>
                <m:sub>
                  <m:r>
                    <m:rPr>
                      <m:sty m:val="p"/>
                    </m:rPr>
                    <w:rPr>
                      <w:rFonts w:ascii="Cambria Math" w:hAnsi="Cambria Math" w:eastAsia="宋体"/>
                      <w:color w:val="000000"/>
                      <w:sz w:val="24"/>
                      <w:szCs w:val="24"/>
                    </w:rPr>
                    <m:t>i=1</m:t>
                  </m:r>
                  <m:ctrlPr>
                    <w:rPr>
                      <w:rFonts w:ascii="Cambria Math" w:hAnsi="Cambria Math" w:eastAsia="宋体"/>
                      <w:color w:val="000000"/>
                      <w:sz w:val="24"/>
                      <w:szCs w:val="24"/>
                    </w:rPr>
                  </m:ctrlPr>
                </m:sub>
                <m:sup>
                  <m:r>
                    <m:rPr>
                      <m:sty m:val="p"/>
                    </m:rPr>
                    <w:rPr>
                      <w:rFonts w:ascii="Cambria Math" w:hAnsi="Cambria Math" w:eastAsia="宋体"/>
                      <w:color w:val="000000"/>
                      <w:sz w:val="24"/>
                      <w:szCs w:val="24"/>
                    </w:rPr>
                    <m:t>m</m:t>
                  </m:r>
                  <m:ctrlPr>
                    <w:rPr>
                      <w:rFonts w:ascii="Cambria Math" w:hAnsi="Cambria Math" w:eastAsia="宋体"/>
                      <w:color w:val="000000"/>
                      <w:sz w:val="24"/>
                      <w:szCs w:val="24"/>
                    </w:rPr>
                  </m:ctrlPr>
                </m:sup>
                <m:e>
                  <m:r>
                    <m:rPr>
                      <m:sty m:val="p"/>
                    </m:rPr>
                    <w:rPr>
                      <w:rFonts w:ascii="Cambria Math" w:hAnsi="Cambria Math" w:eastAsia="宋体"/>
                      <w:color w:val="000000"/>
                      <w:sz w:val="24"/>
                      <w:szCs w:val="24"/>
                    </w:rPr>
                    <m:t>(</m:t>
                  </m:r>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ij</m:t>
                      </m:r>
                      <m:ctrlPr>
                        <w:rPr>
                          <w:rFonts w:ascii="Cambria Math" w:hAnsi="Cambria Math" w:eastAsia="宋体"/>
                          <w:color w:val="000000"/>
                          <w:sz w:val="24"/>
                          <w:szCs w:val="24"/>
                        </w:rPr>
                      </m:ctrlPr>
                    </m:sub>
                  </m:sSub>
                  <m:ctrlPr>
                    <w:rPr>
                      <w:rFonts w:ascii="Cambria Math" w:hAnsi="Cambria Math" w:eastAsia="宋体"/>
                      <w:color w:val="000000"/>
                      <w:sz w:val="24"/>
                      <w:szCs w:val="24"/>
                    </w:rPr>
                  </m:ctrlPr>
                </m:e>
              </m:nary>
              <m:r>
                <m:rPr>
                  <m:sty m:val="p"/>
                </m:rPr>
                <w:rPr>
                  <w:rFonts w:ascii="Cambria Math" w:hAnsi="Cambria Math" w:eastAsia="宋体"/>
                  <w:color w:val="000000"/>
                  <w:sz w:val="24"/>
                  <w:szCs w:val="24"/>
                </w:rPr>
                <m:t>·</m:t>
              </m:r>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ij</m:t>
                  </m:r>
                  <m:ctrlPr>
                    <w:rPr>
                      <w:rFonts w:ascii="Cambria Math" w:hAnsi="Cambria Math" w:eastAsia="宋体"/>
                      <w:color w:val="000000"/>
                      <w:sz w:val="24"/>
                      <w:szCs w:val="24"/>
                    </w:rPr>
                  </m:ctrlPr>
                </m:sub>
              </m:sSub>
              <m:r>
                <m:rPr>
                  <m:sty m:val="p"/>
                </m:rPr>
                <w:rPr>
                  <w:rFonts w:ascii="Cambria Math" w:hAnsi="Cambria Math" w:eastAsia="宋体"/>
                  <w:color w:val="000000"/>
                  <w:sz w:val="24"/>
                  <w:szCs w:val="24"/>
                </w:rPr>
                <m:t xml:space="preserve">)         </m:t>
              </m:r>
              <m:ctrlPr>
                <w:rPr>
                  <w:rFonts w:ascii="Cambria Math" w:hAnsi="Cambria Math" w:eastAsia="宋体"/>
                  <w:color w:val="000000"/>
                  <w:sz w:val="24"/>
                  <w:szCs w:val="24"/>
                </w:rPr>
              </m:ctrlPr>
            </m:e>
          </m:nary>
        </m:oMath>
      </m:oMathPara>
    </w:p>
    <w:p>
      <w:pPr>
        <w:ind w:firstLine="480"/>
        <w:rPr>
          <w:rFonts w:eastAsia="宋体"/>
          <w:color w:val="000000"/>
          <w:sz w:val="24"/>
          <w:szCs w:val="24"/>
        </w:rPr>
      </w:pPr>
    </w:p>
    <w:p>
      <w:pPr>
        <w:ind w:firstLine="560"/>
        <w:rPr>
          <w:rFonts w:ascii="仿宋" w:hAnsi="仿宋"/>
          <w:color w:val="000000"/>
        </w:rPr>
      </w:pPr>
      <w:r>
        <w:rPr>
          <w:rFonts w:ascii="仿宋" w:hAnsi="仿宋"/>
          <w:color w:val="000000"/>
        </w:rPr>
        <w:t>式中    W净——灌区年净灌溉用水总量，m</w:t>
      </w:r>
      <w:r>
        <w:rPr>
          <w:rFonts w:ascii="仿宋" w:hAnsi="仿宋"/>
          <w:color w:val="000000"/>
          <w:vertAlign w:val="superscript"/>
        </w:rPr>
        <w:t>3</w:t>
      </w:r>
      <w:r>
        <w:rPr>
          <w:rFonts w:ascii="仿宋" w:hAnsi="仿宋"/>
          <w:color w:val="000000"/>
        </w:rPr>
        <w:t>；</w:t>
      </w:r>
    </w:p>
    <w:p>
      <w:pPr>
        <w:ind w:firstLine="560"/>
        <w:rPr>
          <w:rFonts w:ascii="仿宋" w:hAnsi="仿宋"/>
          <w:color w:val="000000"/>
        </w:rPr>
      </w:pPr>
      <w:r>
        <w:rPr>
          <w:rFonts w:ascii="仿宋" w:hAnsi="仿宋"/>
          <w:color w:val="000000"/>
        </w:rPr>
        <w:object>
          <v:shape id="_x0000_i1036" o:spt="75" type="#_x0000_t75" style="height:18.55pt;width:16.35pt;" o:ole="t" filled="f" o:preferrelative="t" stroked="f" coordsize="21600,21600">
            <v:path/>
            <v:fill on="f" focussize="0,0"/>
            <v:stroke on="f" joinstyle="miter"/>
            <v:imagedata r:id="rId39" o:title=""/>
            <o:lock v:ext="edit" aspectratio="t"/>
            <w10:wrap type="none"/>
            <w10:anchorlock/>
          </v:shape>
          <o:OLEObject Type="Embed" ProgID="Equation.DSMT4" ShapeID="_x0000_i1036" DrawAspect="Content" ObjectID="_1468075736" r:id="rId38">
            <o:LockedField>false</o:LockedField>
          </o:OLEObject>
        </w:object>
      </w:r>
      <w:r>
        <w:rPr>
          <w:rFonts w:ascii="仿宋" w:hAnsi="仿宋"/>
          <w:color w:val="000000"/>
        </w:rPr>
        <w:t>——灌区j个片区内第i种作物亩均净灌溉用水量，m</w:t>
      </w:r>
      <w:r>
        <w:rPr>
          <w:rFonts w:ascii="仿宋" w:hAnsi="仿宋"/>
          <w:color w:val="000000"/>
          <w:vertAlign w:val="superscript"/>
        </w:rPr>
        <w:t>3</w:t>
      </w:r>
      <w:r>
        <w:rPr>
          <w:rFonts w:ascii="仿宋" w:hAnsi="仿宋"/>
          <w:color w:val="000000"/>
        </w:rPr>
        <w:t>/亩；</w:t>
      </w:r>
    </w:p>
    <w:p>
      <w:pPr>
        <w:ind w:firstLine="560"/>
        <w:rPr>
          <w:rFonts w:ascii="仿宋" w:hAnsi="仿宋"/>
          <w:color w:val="000000"/>
        </w:rPr>
      </w:pPr>
      <w:r>
        <w:rPr>
          <w:rFonts w:ascii="仿宋" w:hAnsi="仿宋"/>
          <w:color w:val="000000"/>
        </w:rPr>
        <w:object>
          <v:shape id="_x0000_i1037" o:spt="75" type="#_x0000_t75" style="height:18.55pt;width:15.25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37" r:id="rId40">
            <o:LockedField>false</o:LockedField>
          </o:OLEObject>
        </w:object>
      </w:r>
      <w:r>
        <w:rPr>
          <w:rFonts w:ascii="仿宋" w:hAnsi="仿宋"/>
          <w:color w:val="000000"/>
        </w:rPr>
        <w:t>——灌区j个片区内第i种作物灌溉面积，亩；</w:t>
      </w:r>
    </w:p>
    <w:p>
      <w:pPr>
        <w:ind w:firstLine="560"/>
        <w:rPr>
          <w:rFonts w:ascii="仿宋" w:hAnsi="仿宋"/>
          <w:color w:val="000000"/>
        </w:rPr>
      </w:pPr>
      <w:r>
        <w:rPr>
          <w:rFonts w:ascii="仿宋" w:hAnsi="仿宋"/>
          <w:color w:val="000000"/>
        </w:rPr>
        <w:t>m——灌区j个片区内的作物种类，种；</w:t>
      </w:r>
    </w:p>
    <w:p>
      <w:pPr>
        <w:ind w:firstLine="560"/>
        <w:rPr>
          <w:rFonts w:ascii="仿宋" w:hAnsi="仿宋"/>
          <w:color w:val="000000"/>
        </w:rPr>
      </w:pPr>
      <w:r>
        <w:rPr>
          <w:rFonts w:ascii="仿宋" w:hAnsi="仿宋"/>
          <w:color w:val="000000"/>
        </w:rPr>
        <w:t>n——灌区片区数量，个；大、中、小型灌区n分别为3、2、1。</w:t>
      </w:r>
    </w:p>
    <w:p>
      <w:pPr>
        <w:ind w:firstLine="560"/>
        <w:rPr>
          <w:rFonts w:ascii="仿宋" w:hAnsi="仿宋"/>
          <w:color w:val="000000"/>
        </w:rPr>
      </w:pPr>
      <w:r>
        <w:rPr>
          <w:rFonts w:ascii="仿宋" w:hAnsi="仿宋"/>
          <w:color w:val="000000"/>
        </w:rPr>
        <w:t>（5）灌区年毛灌溉用水总量的计算公式如下：</w:t>
      </w:r>
    </w:p>
    <w:p>
      <w:pPr>
        <w:ind w:firstLine="480"/>
        <w:rPr>
          <w:rFonts w:eastAsia="宋体"/>
          <w:color w:val="000000"/>
          <w:sz w:val="24"/>
          <w:szCs w:val="24"/>
        </w:rPr>
      </w:pPr>
      <m:oMathPara>
        <m:oMath>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毛</m:t>
              </m:r>
              <m:ctrlPr>
                <w:rPr>
                  <w:rFonts w:ascii="Cambria Math" w:hAnsi="Cambria Math" w:eastAsia="宋体"/>
                  <w:color w:val="000000"/>
                  <w:sz w:val="24"/>
                  <w:szCs w:val="24"/>
                </w:rPr>
              </m:ctrlPr>
            </m:sub>
          </m:sSub>
          <m:r>
            <m:rPr>
              <m:sty m:val="p"/>
            </m:rPr>
            <w:rPr>
              <w:rFonts w:ascii="Cambria Math" w:hAnsi="Cambria Math" w:eastAsia="宋体"/>
              <w:color w:val="000000"/>
              <w:sz w:val="24"/>
              <w:szCs w:val="24"/>
            </w:rPr>
            <w:object>
              <v:shape id="_x0000_i1038" o:spt="75" type="#_x0000_t75" style="height:18pt;width:8.75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42">
                <o:LockedField>false</o:LockedField>
              </o:OLEObject>
            </w:object>
          </m:r>
          <m:r>
            <m:rPr>
              <m:sty m:val="p"/>
            </m:rPr>
            <w:rPr>
              <w:rFonts w:ascii="Cambria Math" w:hAnsi="Cambria Math" w:eastAsia="宋体"/>
              <w:color w:val="000000"/>
              <w:sz w:val="24"/>
              <w:szCs w:val="24"/>
            </w:rPr>
            <m:t>=</m:t>
          </m:r>
          <m:nary>
            <m:naryPr>
              <m:chr m:val="∑"/>
              <m:limLoc m:val="undOvr"/>
              <m:ctrlPr>
                <w:rPr>
                  <w:rFonts w:ascii="Cambria Math" w:hAnsi="Cambria Math" w:eastAsia="宋体"/>
                  <w:color w:val="000000"/>
                  <w:sz w:val="24"/>
                  <w:szCs w:val="24"/>
                </w:rPr>
              </m:ctrlPr>
            </m:naryPr>
            <m:sub>
              <m:r>
                <m:rPr>
                  <m:sty m:val="p"/>
                </m:rPr>
                <w:rPr>
                  <w:rFonts w:ascii="Cambria Math" w:hAnsi="Cambria Math" w:eastAsia="宋体"/>
                  <w:color w:val="000000"/>
                  <w:sz w:val="24"/>
                  <w:szCs w:val="24"/>
                </w:rPr>
                <m:t>i=1</m:t>
              </m:r>
              <m:ctrlPr>
                <w:rPr>
                  <w:rFonts w:ascii="Cambria Math" w:hAnsi="Cambria Math" w:eastAsia="宋体"/>
                  <w:color w:val="000000"/>
                  <w:sz w:val="24"/>
                  <w:szCs w:val="24"/>
                </w:rPr>
              </m:ctrlPr>
            </m:sub>
            <m:sup>
              <m:r>
                <m:rPr>
                  <m:sty m:val="p"/>
                </m:rPr>
                <w:rPr>
                  <w:rFonts w:ascii="Cambria Math" w:hAnsi="Cambria Math" w:eastAsia="宋体"/>
                  <w:color w:val="000000"/>
                  <w:sz w:val="24"/>
                  <w:szCs w:val="24"/>
                </w:rPr>
                <m:t>n</m:t>
              </m:r>
              <m:ctrlPr>
                <w:rPr>
                  <w:rFonts w:ascii="Cambria Math" w:hAnsi="Cambria Math" w:eastAsia="宋体"/>
                  <w:color w:val="000000"/>
                  <w:sz w:val="24"/>
                  <w:szCs w:val="24"/>
                </w:rPr>
              </m:ctrlPr>
            </m:sup>
            <m:e>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毛i</m:t>
                  </m:r>
                  <m:ctrlPr>
                    <w:rPr>
                      <w:rFonts w:ascii="Cambria Math" w:hAnsi="Cambria Math" w:eastAsia="宋体"/>
                      <w:color w:val="000000"/>
                      <w:sz w:val="24"/>
                      <w:szCs w:val="24"/>
                    </w:rPr>
                  </m:ctrlPr>
                </m:sub>
              </m:sSub>
              <m:ctrlPr>
                <w:rPr>
                  <w:rFonts w:ascii="Cambria Math" w:hAnsi="Cambria Math" w:eastAsia="宋体"/>
                  <w:color w:val="000000"/>
                  <w:sz w:val="24"/>
                  <w:szCs w:val="24"/>
                </w:rPr>
              </m:ctrlPr>
            </m:e>
          </m:nary>
        </m:oMath>
      </m:oMathPara>
    </w:p>
    <w:p>
      <w:pPr>
        <w:ind w:firstLine="560"/>
        <w:rPr>
          <w:rFonts w:ascii="仿宋" w:hAnsi="仿宋"/>
          <w:color w:val="000000"/>
        </w:rPr>
      </w:pPr>
      <w:r>
        <w:rPr>
          <w:rFonts w:ascii="仿宋" w:hAnsi="仿宋"/>
          <w:color w:val="000000"/>
        </w:rPr>
        <w:t xml:space="preserve">式中   </w:t>
      </w:r>
      <m:oMath>
        <m:sSub>
          <m:sSubPr>
            <m:ctrlPr>
              <w:rPr>
                <w:rFonts w:ascii="Cambria Math" w:hAnsi="仿宋"/>
                <w:color w:val="000000"/>
              </w:rPr>
            </m:ctrlPr>
          </m:sSubPr>
          <m:e>
            <m:r>
              <m:rPr>
                <m:sty m:val="p"/>
              </m:rPr>
              <w:rPr>
                <w:rFonts w:ascii="Cambria Math" w:hAnsi="仿宋"/>
                <w:color w:val="000000"/>
              </w:rPr>
              <m:t>W</m:t>
            </m:r>
            <m:ctrlPr>
              <w:rPr>
                <w:rFonts w:ascii="Cambria Math" w:hAnsi="仿宋"/>
                <w:color w:val="000000"/>
              </w:rPr>
            </m:ctrlPr>
          </m:e>
          <m:sub>
            <m:r>
              <m:rPr>
                <m:sty m:val="p"/>
              </m:rPr>
              <w:rPr>
                <w:rFonts w:ascii="Cambria Math" w:hAnsi="Cambria Math"/>
                <w:color w:val="000000"/>
              </w:rPr>
              <m:t>毛</m:t>
            </m:r>
            <m:ctrlPr>
              <w:rPr>
                <w:rFonts w:ascii="Cambria Math" w:hAnsi="仿宋"/>
                <w:color w:val="000000"/>
              </w:rPr>
            </m:ctrlPr>
          </m:sub>
        </m:sSub>
      </m:oMath>
      <w:r>
        <w:rPr>
          <w:rFonts w:ascii="仿宋" w:hAnsi="仿宋"/>
          <w:color w:val="000000"/>
        </w:rPr>
        <w:t xml:space="preserve"> ——灌区年毛灌溉用水总量，m</w:t>
      </w:r>
      <w:r>
        <w:rPr>
          <w:rFonts w:ascii="仿宋" w:hAnsi="仿宋"/>
          <w:color w:val="000000"/>
          <w:vertAlign w:val="superscript"/>
        </w:rPr>
        <w:t>3</w:t>
      </w:r>
    </w:p>
    <w:p>
      <w:pPr>
        <w:ind w:firstLine="560"/>
        <w:rPr>
          <w:rFonts w:ascii="仿宋" w:hAnsi="仿宋"/>
          <w:color w:val="000000"/>
        </w:rPr>
      </w:pPr>
      <m:oMath>
        <m:sSub>
          <m:sSubPr>
            <m:ctrlPr>
              <w:rPr>
                <w:rFonts w:ascii="Cambria Math" w:hAnsi="仿宋"/>
                <w:color w:val="000000"/>
              </w:rPr>
            </m:ctrlPr>
          </m:sSubPr>
          <m:e>
            <m:r>
              <m:rPr>
                <m:sty m:val="p"/>
              </m:rPr>
              <w:rPr>
                <w:rFonts w:ascii="Cambria Math" w:hAnsi="仿宋"/>
                <w:color w:val="000000"/>
              </w:rPr>
              <m:t>W</m:t>
            </m:r>
            <m:ctrlPr>
              <w:rPr>
                <w:rFonts w:ascii="Cambria Math" w:hAnsi="仿宋"/>
                <w:color w:val="000000"/>
              </w:rPr>
            </m:ctrlPr>
          </m:e>
          <m:sub>
            <m:r>
              <m:rPr>
                <m:sty m:val="p"/>
              </m:rPr>
              <w:rPr>
                <w:rFonts w:ascii="Cambria Math" w:hAnsi="Cambria Math"/>
                <w:color w:val="000000"/>
              </w:rPr>
              <m:t>毛</m:t>
            </m:r>
            <m:r>
              <m:rPr>
                <m:sty m:val="p"/>
              </m:rPr>
              <w:rPr>
                <w:rFonts w:ascii="Cambria Math" w:hAnsi="仿宋"/>
                <w:color w:val="000000"/>
              </w:rPr>
              <m:t>i</m:t>
            </m:r>
            <m:ctrlPr>
              <w:rPr>
                <w:rFonts w:ascii="Cambria Math" w:hAnsi="仿宋"/>
                <w:color w:val="000000"/>
              </w:rPr>
            </m:ctrlPr>
          </m:sub>
        </m:sSub>
      </m:oMath>
      <w:r>
        <w:rPr>
          <w:rFonts w:ascii="仿宋" w:hAnsi="仿宋"/>
          <w:color w:val="000000"/>
        </w:rPr>
        <w:t>——灌区第i个水源取水量，m</w:t>
      </w:r>
      <w:r>
        <w:rPr>
          <w:rFonts w:ascii="仿宋" w:hAnsi="仿宋"/>
          <w:color w:val="000000"/>
          <w:vertAlign w:val="superscript"/>
        </w:rPr>
        <w:t>3</w:t>
      </w:r>
      <w:r>
        <w:rPr>
          <w:rFonts w:ascii="仿宋" w:hAnsi="仿宋"/>
          <w:color w:val="000000"/>
        </w:rPr>
        <w:t>。</w:t>
      </w:r>
    </w:p>
    <w:p>
      <w:pPr>
        <w:ind w:firstLine="560"/>
        <w:rPr>
          <w:rFonts w:ascii="仿宋" w:hAnsi="仿宋"/>
          <w:color w:val="000000"/>
        </w:rPr>
      </w:pPr>
      <w:r>
        <w:rPr>
          <w:rFonts w:ascii="仿宋" w:hAnsi="仿宋"/>
          <w:color w:val="000000"/>
        </w:rPr>
        <w:t xml:space="preserve">       n ——灌区水源数量，个。</w:t>
      </w:r>
    </w:p>
    <w:p>
      <w:pPr>
        <w:ind w:firstLine="560"/>
        <w:rPr>
          <w:rFonts w:ascii="仿宋" w:hAnsi="仿宋"/>
          <w:color w:val="000000"/>
        </w:rPr>
      </w:pPr>
      <w:r>
        <w:rPr>
          <w:rFonts w:ascii="仿宋" w:hAnsi="仿宋"/>
          <w:color w:val="000000"/>
        </w:rPr>
        <w:t>（6）灌区灌溉水有效利用系数计算公式如下：</w:t>
      </w:r>
    </w:p>
    <w:p>
      <w:pPr>
        <w:ind w:firstLine="480"/>
        <w:rPr>
          <w:rFonts w:eastAsia="宋体"/>
          <w:color w:val="000000"/>
          <w:sz w:val="24"/>
          <w:szCs w:val="24"/>
        </w:rPr>
      </w:pPr>
      <m:oMathPara>
        <m:oMath>
          <m:r>
            <m:rPr>
              <m:sty m:val="p"/>
            </m:rPr>
            <w:rPr>
              <w:rFonts w:ascii="Cambria Math" w:hAnsi="Cambria Math" w:eastAsia="宋体"/>
              <w:color w:val="000000"/>
              <w:sz w:val="24"/>
              <w:szCs w:val="24"/>
            </w:rPr>
            <m:t>ƞ=</m:t>
          </m:r>
          <m:f>
            <m:fPr>
              <m:ctrlPr>
                <w:rPr>
                  <w:rFonts w:ascii="Cambria Math" w:hAnsi="Cambria Math" w:eastAsia="宋体"/>
                  <w:color w:val="000000"/>
                  <w:sz w:val="24"/>
                  <w:szCs w:val="24"/>
                </w:rPr>
              </m:ctrlPr>
            </m:fPr>
            <m:num>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净</m:t>
                  </m:r>
                  <m:ctrlPr>
                    <w:rPr>
                      <w:rFonts w:ascii="Cambria Math" w:hAnsi="Cambria Math" w:eastAsia="宋体"/>
                      <w:color w:val="000000"/>
                      <w:sz w:val="24"/>
                      <w:szCs w:val="24"/>
                    </w:rPr>
                  </m:ctrlPr>
                </m:sub>
              </m:sSub>
              <m:ctrlPr>
                <w:rPr>
                  <w:rFonts w:ascii="Cambria Math" w:hAnsi="Cambria Math" w:eastAsia="宋体"/>
                  <w:color w:val="000000"/>
                  <w:sz w:val="24"/>
                  <w:szCs w:val="24"/>
                </w:rPr>
              </m:ctrlPr>
            </m:num>
            <m:den>
              <m:sSub>
                <m:sSubPr>
                  <m:ctrlPr>
                    <w:rPr>
                      <w:rFonts w:ascii="Cambria Math" w:hAnsi="Cambria Math" w:eastAsia="宋体"/>
                      <w:color w:val="000000"/>
                      <w:sz w:val="24"/>
                      <w:szCs w:val="24"/>
                    </w:rPr>
                  </m:ctrlPr>
                </m:sSubPr>
                <m:e>
                  <m:r>
                    <m:rPr>
                      <m:sty m:val="p"/>
                    </m:rPr>
                    <w:rPr>
                      <w:rFonts w:ascii="Cambria Math" w:hAnsi="Cambria Math" w:eastAsia="宋体"/>
                      <w:color w:val="000000"/>
                      <w:sz w:val="24"/>
                      <w:szCs w:val="24"/>
                    </w:rPr>
                    <m:t>W</m:t>
                  </m:r>
                  <m:ctrlPr>
                    <w:rPr>
                      <w:rFonts w:ascii="Cambria Math" w:hAnsi="Cambria Math" w:eastAsia="宋体"/>
                      <w:color w:val="000000"/>
                      <w:sz w:val="24"/>
                      <w:szCs w:val="24"/>
                    </w:rPr>
                  </m:ctrlPr>
                </m:e>
                <m:sub>
                  <m:r>
                    <m:rPr>
                      <m:sty m:val="p"/>
                    </m:rPr>
                    <w:rPr>
                      <w:rFonts w:ascii="Cambria Math" w:hAnsi="Cambria Math" w:eastAsia="宋体"/>
                      <w:color w:val="000000"/>
                      <w:sz w:val="24"/>
                      <w:szCs w:val="24"/>
                    </w:rPr>
                    <m:t>毛</m:t>
                  </m:r>
                  <m:ctrlPr>
                    <w:rPr>
                      <w:rFonts w:ascii="Cambria Math" w:hAnsi="Cambria Math" w:eastAsia="宋体"/>
                      <w:color w:val="000000"/>
                      <w:sz w:val="24"/>
                      <w:szCs w:val="24"/>
                    </w:rPr>
                  </m:ctrlPr>
                </m:sub>
              </m:sSub>
              <m:ctrlPr>
                <w:rPr>
                  <w:rFonts w:ascii="Cambria Math" w:hAnsi="Cambria Math" w:eastAsia="宋体"/>
                  <w:color w:val="000000"/>
                  <w:sz w:val="24"/>
                  <w:szCs w:val="24"/>
                </w:rPr>
              </m:ctrlPr>
            </m:den>
          </m:f>
        </m:oMath>
      </m:oMathPara>
    </w:p>
    <w:p>
      <w:pPr>
        <w:ind w:firstLine="560"/>
        <w:rPr>
          <w:rFonts w:ascii="仿宋" w:hAnsi="仿宋"/>
          <w:color w:val="000000"/>
        </w:rPr>
      </w:pPr>
      <w:r>
        <w:rPr>
          <w:rFonts w:ascii="仿宋" w:hAnsi="仿宋"/>
          <w:color w:val="000000"/>
        </w:rPr>
        <w:t xml:space="preserve">式中  </w:t>
      </w:r>
      <m:oMath>
        <m:r>
          <m:rPr>
            <m:sty m:val="p"/>
          </m:rPr>
          <w:rPr>
            <w:rFonts w:ascii="Cambria Math" w:hAnsi="Cambria Math"/>
            <w:color w:val="000000"/>
          </w:rPr>
          <m:t>ƞ</m:t>
        </m:r>
      </m:oMath>
      <w:r>
        <w:rPr>
          <w:rFonts w:ascii="仿宋" w:hAnsi="仿宋"/>
          <w:color w:val="000000"/>
        </w:rPr>
        <w:t>——灌区灌溉水有效利用系数；</w:t>
      </w:r>
    </w:p>
    <w:p>
      <w:pPr>
        <w:ind w:firstLine="560"/>
        <w:rPr>
          <w:rFonts w:ascii="仿宋" w:hAnsi="仿宋"/>
          <w:color w:val="000000"/>
        </w:rPr>
      </w:pPr>
      <m:oMath>
        <m:sSub>
          <m:sSubPr>
            <m:ctrlPr>
              <w:rPr>
                <w:rFonts w:ascii="Cambria Math" w:hAnsi="仿宋"/>
                <w:color w:val="000000"/>
              </w:rPr>
            </m:ctrlPr>
          </m:sSubPr>
          <m:e>
            <m:r>
              <m:rPr>
                <m:sty m:val="p"/>
              </m:rPr>
              <w:rPr>
                <w:rFonts w:ascii="Cambria Math" w:hAnsi="仿宋"/>
                <w:color w:val="000000"/>
              </w:rPr>
              <m:t>W</m:t>
            </m:r>
            <m:ctrlPr>
              <w:rPr>
                <w:rFonts w:ascii="Cambria Math" w:hAnsi="仿宋"/>
                <w:color w:val="000000"/>
              </w:rPr>
            </m:ctrlPr>
          </m:e>
          <m:sub>
            <m:r>
              <m:rPr>
                <m:sty m:val="p"/>
              </m:rPr>
              <w:rPr>
                <w:rFonts w:ascii="Cambria Math" w:hAnsi="Cambria Math"/>
                <w:color w:val="000000"/>
              </w:rPr>
              <m:t>净</m:t>
            </m:r>
            <m:ctrlPr>
              <w:rPr>
                <w:rFonts w:ascii="Cambria Math" w:hAnsi="仿宋"/>
                <w:color w:val="000000"/>
              </w:rPr>
            </m:ctrlPr>
          </m:sub>
        </m:sSub>
      </m:oMath>
      <w:r>
        <w:rPr>
          <w:rFonts w:ascii="仿宋" w:hAnsi="仿宋"/>
          <w:color w:val="000000"/>
        </w:rPr>
        <w:t>——样点灌区净灌溉用水量，m</w:t>
      </w:r>
      <w:r>
        <w:rPr>
          <w:rFonts w:ascii="仿宋" w:hAnsi="仿宋"/>
          <w:color w:val="000000"/>
          <w:vertAlign w:val="superscript"/>
        </w:rPr>
        <w:t>3</w:t>
      </w:r>
      <w:r>
        <w:rPr>
          <w:rFonts w:ascii="仿宋" w:hAnsi="仿宋"/>
          <w:color w:val="000000"/>
        </w:rPr>
        <w:t>；</w:t>
      </w:r>
    </w:p>
    <w:p>
      <w:pPr>
        <w:ind w:firstLine="560"/>
        <w:rPr>
          <w:rFonts w:ascii="仿宋" w:hAnsi="仿宋"/>
          <w:color w:val="000000"/>
        </w:rPr>
      </w:pPr>
      <m:oMath>
        <m:sSub>
          <m:sSubPr>
            <m:ctrlPr>
              <w:rPr>
                <w:rFonts w:ascii="Cambria Math" w:hAnsi="仿宋"/>
                <w:color w:val="000000"/>
              </w:rPr>
            </m:ctrlPr>
          </m:sSubPr>
          <m:e>
            <m:r>
              <m:rPr>
                <m:sty m:val="p"/>
              </m:rPr>
              <w:rPr>
                <w:rFonts w:ascii="Cambria Math" w:hAnsi="仿宋"/>
                <w:color w:val="000000"/>
              </w:rPr>
              <m:t>W</m:t>
            </m:r>
            <m:ctrlPr>
              <w:rPr>
                <w:rFonts w:ascii="Cambria Math" w:hAnsi="仿宋"/>
                <w:color w:val="000000"/>
              </w:rPr>
            </m:ctrlPr>
          </m:e>
          <m:sub>
            <m:r>
              <m:rPr>
                <m:sty m:val="p"/>
              </m:rPr>
              <w:rPr>
                <w:rFonts w:ascii="Cambria Math" w:hAnsi="Cambria Math"/>
                <w:color w:val="000000"/>
              </w:rPr>
              <m:t>毛</m:t>
            </m:r>
            <m:ctrlPr>
              <w:rPr>
                <w:rFonts w:ascii="Cambria Math" w:hAnsi="仿宋"/>
                <w:color w:val="000000"/>
              </w:rPr>
            </m:ctrlPr>
          </m:sub>
        </m:sSub>
      </m:oMath>
      <w:r>
        <w:rPr>
          <w:rFonts w:ascii="仿宋" w:hAnsi="仿宋"/>
          <w:color w:val="000000"/>
        </w:rPr>
        <w:t>——样点灌区毛灌溉用水量，m</w:t>
      </w:r>
      <w:r>
        <w:rPr>
          <w:rFonts w:ascii="仿宋" w:hAnsi="仿宋"/>
          <w:color w:val="000000"/>
          <w:vertAlign w:val="superscript"/>
        </w:rPr>
        <w:t>3</w:t>
      </w:r>
      <w:r>
        <w:rPr>
          <w:rFonts w:ascii="仿宋" w:hAnsi="仿宋"/>
          <w:color w:val="000000"/>
        </w:rPr>
        <w:t>。</w:t>
      </w:r>
    </w:p>
    <w:p>
      <w:pPr>
        <w:pStyle w:val="4"/>
        <w:rPr>
          <w:color w:val="000000" w:themeColor="text1"/>
          <w:sz w:val="24"/>
          <w14:textFill>
            <w14:solidFill>
              <w14:schemeClr w14:val="tx1"/>
            </w14:solidFill>
          </w14:textFill>
        </w:rPr>
      </w:pPr>
      <w:bookmarkStart w:id="39" w:name="_Toc164082424"/>
      <w:r>
        <w:rPr>
          <w:rFonts w:hint="eastAsia"/>
        </w:rPr>
        <w:t xml:space="preserve">5.1.2 </w:t>
      </w:r>
      <w:r>
        <w:t>年毛灌溉用水总量确定</w:t>
      </w:r>
      <w:bookmarkEnd w:id="39"/>
    </w:p>
    <w:p>
      <w:pPr>
        <w:ind w:firstLine="560"/>
      </w:pPr>
      <w:r>
        <w:t>（1）一般情况</w:t>
      </w:r>
    </w:p>
    <w:p>
      <w:pPr>
        <w:ind w:firstLine="560"/>
      </w:pPr>
      <w:r>
        <w:rPr>
          <w:rFonts w:hint="eastAsia"/>
        </w:rPr>
        <w:t>洛浦县</w:t>
      </w:r>
      <w:r>
        <w:t>年毛灌溉用水总量</w:t>
      </w:r>
      <m:oMath>
        <m:sSub>
          <m:sSubPr>
            <m:ctrlPr>
              <w:rPr>
                <w:rFonts w:ascii="Cambria Math" w:hAnsi="Cambria Math"/>
              </w:rPr>
            </m:ctrlPr>
          </m:sSubPr>
          <m:e>
            <m:r>
              <m:rPr>
                <m:sty m:val="p"/>
              </m:rPr>
              <w:rPr>
                <w:rFonts w:ascii="Cambria Math" w:hAnsi="Cambria Math"/>
              </w:rPr>
              <m:t>W</m:t>
            </m:r>
            <m:ctrlPr>
              <w:rPr>
                <w:rFonts w:ascii="Cambria Math" w:hAnsi="Cambria Math"/>
              </w:rPr>
            </m:ctrlPr>
          </m:e>
          <m:sub>
            <m:r>
              <m:rPr>
                <m:sty m:val="p"/>
              </m:rPr>
              <w:rPr>
                <w:rFonts w:ascii="Cambria Math" w:hAnsi="Cambria Math"/>
              </w:rPr>
              <m:t>毛</m:t>
            </m:r>
            <m:ctrlPr>
              <w:rPr>
                <w:rFonts w:ascii="Cambria Math" w:hAnsi="Cambria Math"/>
              </w:rPr>
            </m:ctrlPr>
          </m:sub>
        </m:sSub>
      </m:oMath>
      <w:r>
        <w:t>是指</w:t>
      </w:r>
      <w:r>
        <w:rPr>
          <w:rFonts w:hint="eastAsia"/>
        </w:rPr>
        <w:t>和田地区</w:t>
      </w:r>
      <w:r>
        <w:t>农业灌区全年从水源地等灌溉系统取用的用于农田灌溉的总水量，其值等于取水总量中扣除由于工程保护、防洪除险等需要的渠道（管路）弃水量、向灌区外的退水量以及非农业灌溉水量等。</w:t>
      </w:r>
    </w:p>
    <w:p>
      <w:pPr>
        <w:ind w:firstLine="560"/>
      </w:pPr>
      <w:r>
        <w:t>当农业灌溉输水与工业或城市、农村生活供水共用一条渠道（管路）时，还应扣除其相应的水量（从分水点反推到渠首）。</w:t>
      </w:r>
    </w:p>
    <w:p>
      <w:pPr>
        <w:ind w:firstLine="560"/>
      </w:pPr>
      <w:r>
        <w:rPr>
          <w:rFonts w:hint="eastAsia"/>
        </w:rPr>
        <w:t>洛浦县</w:t>
      </w:r>
      <w:r>
        <w:t>年毛灌溉用水总量应根据灌区从水源地等灌溉系统实际取水测量值统计分析取得。</w:t>
      </w:r>
    </w:p>
    <w:p>
      <w:pPr>
        <w:ind w:firstLine="560"/>
      </w:pPr>
      <w:r>
        <w:t>（2）灌区内结合塘堰坝或其它供水水源灌溉情况</w:t>
      </w:r>
    </w:p>
    <w:p>
      <w:pPr>
        <w:ind w:firstLine="560"/>
      </w:pPr>
      <w:r>
        <w:t>在一些利用塘堰坝与骨干灌溉水源联合灌溉供水的灌区，其塘堰坝的蓄水一部分来自当地降雨产生的地表径流，同时还可能有一部分来自渠道补水，这两部分水量应计入灌区毛灌溉用水总量中，并按以下要求分析测算：</w:t>
      </w:r>
    </w:p>
    <w:p>
      <w:pPr>
        <w:ind w:firstLine="560"/>
      </w:pPr>
      <w:r>
        <w:rPr>
          <w:rFonts w:hint="eastAsia"/>
        </w:rPr>
        <w:t>①</w:t>
      </w:r>
      <w:r>
        <w:t>如有塘堰坝或其它水源灌溉供水量统计资料，则以统计资料为准。但供水量中不应包括灌区渠系引水蓄入塘堰坝的水量。</w:t>
      </w:r>
    </w:p>
    <w:p>
      <w:pPr>
        <w:ind w:firstLine="560"/>
      </w:pPr>
      <w:r>
        <w:rPr>
          <w:rFonts w:hint="eastAsia"/>
        </w:rPr>
        <w:t>②</w:t>
      </w:r>
      <w:r>
        <w:t>如无统计资料，则应对测算年塘堰坝或其它供水水源灌溉供水情况进行代表性典型调查分析后进行估算。</w:t>
      </w:r>
    </w:p>
    <w:p>
      <w:pPr>
        <w:ind w:firstLine="560"/>
      </w:pPr>
      <w:r>
        <w:t>（3）灌区渠系纳蓄雨水用于灌溉情况</w:t>
      </w:r>
    </w:p>
    <w:p>
      <w:pPr>
        <w:ind w:firstLine="560"/>
      </w:pPr>
      <w:r>
        <w:t>有些灌区在雨季存在当地降雨产生的地表径流进入渠系纳蓄的现象，这些水量如果也用于农业灌溉，而且水量较大，则应进行降水径流分析，将进入渠系用于灌溉的水量计入到年毛灌溉用水总量中。</w:t>
      </w:r>
    </w:p>
    <w:p>
      <w:pPr>
        <w:pStyle w:val="4"/>
      </w:pPr>
      <w:bookmarkStart w:id="40" w:name="_Toc74582416"/>
      <w:bookmarkStart w:id="41" w:name="_Toc164082425"/>
      <w:r>
        <w:rPr>
          <w:rFonts w:hint="eastAsia"/>
        </w:rPr>
        <w:t xml:space="preserve">5.1.3 </w:t>
      </w:r>
      <w:r>
        <w:t>净灌溉用水量确定</w:t>
      </w:r>
      <w:bookmarkEnd w:id="40"/>
      <w:bookmarkEnd w:id="41"/>
    </w:p>
    <w:p>
      <w:pPr>
        <w:ind w:firstLine="560"/>
      </w:pPr>
      <w:r>
        <w:t>净灌溉用水量分析计算以作物净灌溉定额为基础。</w:t>
      </w:r>
      <w:r>
        <w:rPr>
          <w:rFonts w:hint="eastAsia"/>
        </w:rPr>
        <w:t>技术</w:t>
      </w:r>
      <w:r>
        <w:t>指南针对旱作充分灌溉、旱作非充分灌溉、水稻常规灌溉和水稻节水灌溉等几种主要灌溉方式，分别提出相应的净灌溉定额测算分析方法。</w:t>
      </w:r>
    </w:p>
    <w:p>
      <w:pPr>
        <w:ind w:firstLine="560"/>
      </w:pPr>
      <w:r>
        <w:t>如果灌区范围较大，不同区域之间气候气象条件、灌溉用水情况等差异明显，则应在灌区内分区域进行典型分析测算，再以分区结果为依据汇总分析整个灌区净灌溉用水量。</w:t>
      </w:r>
    </w:p>
    <w:p>
      <w:pPr>
        <w:pStyle w:val="5"/>
      </w:pPr>
      <w:bookmarkStart w:id="42" w:name="_Toc74582417"/>
      <w:r>
        <w:rPr>
          <w:rFonts w:hint="eastAsia"/>
        </w:rPr>
        <w:t xml:space="preserve">5.1.3.1 </w:t>
      </w:r>
      <w:r>
        <w:t>旱作充分灌溉净灌溉定额</w:t>
      </w:r>
      <w:bookmarkEnd w:id="42"/>
    </w:p>
    <w:p>
      <w:pPr>
        <w:ind w:firstLine="560"/>
      </w:pPr>
      <w:r>
        <w:t>（1）样点灌区主要作物净灌溉定额可直接采用田间观测资料，也可参考当地灌溉试验站当年观测资料估算。</w:t>
      </w:r>
    </w:p>
    <w:p>
      <w:pPr>
        <w:ind w:firstLine="560"/>
      </w:pPr>
      <w:r>
        <w:t>（2）样点灌区如观测资料有限，可根据当年的水文气象资料，依据水量平衡原理计算得出主要作物的净灌溉定额（式</w:t>
      </w:r>
      <w:r>
        <w:rPr>
          <w:rFonts w:hint="eastAsia"/>
        </w:rPr>
        <w:t>2</w:t>
      </w:r>
      <w:r>
        <w:t>-</w:t>
      </w:r>
      <w:r>
        <w:rPr>
          <w:rFonts w:hint="eastAsia"/>
        </w:rPr>
        <w:t>1</w:t>
      </w:r>
      <w:r>
        <w:t>）。</w:t>
      </w:r>
    </w:p>
    <w:p>
      <w:pPr>
        <w:ind w:firstLine="560"/>
      </w:pPr>
      <w:r>
        <w:object>
          <v:shape id="_x0000_i1039" o:spt="75" type="#_x0000_t75" style="height:18pt;width:135.8pt;" o:ole="t" filled="f" o:preferrelative="t" stroked="f" coordsize="21600,21600">
            <v:path/>
            <v:fill on="f" focussize="0,0"/>
            <v:stroke on="f" joinstyle="miter"/>
            <v:imagedata r:id="rId44" o:title=""/>
            <o:lock v:ext="edit" aspectratio="t"/>
            <w10:wrap type="none"/>
            <w10:anchorlock/>
          </v:shape>
          <o:OLEObject Type="Embed" ProgID="Equation.3" ShapeID="_x0000_i1039" DrawAspect="Content" ObjectID="_1468075739" r:id="rId43">
            <o:LockedField>false</o:LockedField>
          </o:OLEObject>
        </w:object>
      </w:r>
      <w:r>
        <w:t>（</w:t>
      </w:r>
      <w:r>
        <w:rPr>
          <w:rFonts w:hint="eastAsia"/>
        </w:rPr>
        <w:t>2</w:t>
      </w:r>
      <w:r>
        <w:t>-</w:t>
      </w:r>
      <w:r>
        <w:rPr>
          <w:rFonts w:hint="eastAsia"/>
        </w:rPr>
        <w:t>1</w:t>
      </w:r>
      <w:r>
        <w:t>）</w:t>
      </w:r>
    </w:p>
    <w:p>
      <w:pPr>
        <w:ind w:firstLine="560"/>
        <w:rPr>
          <w:rFonts w:ascii="仿宋" w:hAnsi="仿宋"/>
        </w:rPr>
      </w:pPr>
      <w:r>
        <w:rPr>
          <w:rFonts w:ascii="仿宋" w:hAnsi="仿宋"/>
        </w:rPr>
        <w:t xml:space="preserve">式中  </w:t>
      </w:r>
      <w:r>
        <w:rPr>
          <w:rFonts w:ascii="仿宋" w:hAnsi="仿宋"/>
        </w:rPr>
        <w:object>
          <v:shape id="_x0000_i1040" o:spt="75" type="#_x0000_t75" style="height:18pt;width:18pt;" o:ole="t" filled="f" o:preferrelative="t" stroked="f" coordsize="21600,21600">
            <v:path/>
            <v:fill on="f" focussize="0,0"/>
            <v:stroke on="f" joinstyle="miter"/>
            <v:imagedata r:id="rId46" o:title=""/>
            <o:lock v:ext="edit" aspectratio="t"/>
            <w10:wrap type="none"/>
            <w10:anchorlock/>
          </v:shape>
          <o:OLEObject Type="Embed" ProgID="Equation.3" ShapeID="_x0000_i1040" DrawAspect="Content" ObjectID="_1468075740" r:id="rId45">
            <o:LockedField>false</o:LockedField>
          </o:OLEObject>
        </w:object>
      </w:r>
      <w:r>
        <w:rPr>
          <w:rFonts w:ascii="仿宋" w:hAnsi="仿宋"/>
        </w:rPr>
        <w:t>——第</w:t>
      </w:r>
      <w:r>
        <w:rPr>
          <w:rFonts w:ascii="仿宋" w:hAnsi="仿宋"/>
        </w:rPr>
        <w:drawing>
          <wp:inline distT="0" distB="0" distL="0" distR="0">
            <wp:extent cx="88900" cy="166370"/>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8900" cy="166370"/>
                    </a:xfrm>
                    <a:prstGeom prst="rect">
                      <a:avLst/>
                    </a:prstGeom>
                    <a:noFill/>
                    <a:ln>
                      <a:noFill/>
                    </a:ln>
                  </pic:spPr>
                </pic:pic>
              </a:graphicData>
            </a:graphic>
          </wp:inline>
        </w:drawing>
      </w:r>
      <w:r>
        <w:rPr>
          <w:rFonts w:ascii="仿宋" w:hAnsi="仿宋"/>
        </w:rPr>
        <w:t>种作物净灌溉定额，mm；</w:t>
      </w:r>
    </w:p>
    <w:p>
      <w:pPr>
        <w:ind w:firstLine="560"/>
        <w:rPr>
          <w:rFonts w:ascii="仿宋" w:hAnsi="仿宋"/>
        </w:rPr>
      </w:pPr>
      <w:r>
        <w:rPr>
          <w:rFonts w:ascii="仿宋" w:hAnsi="仿宋"/>
        </w:rPr>
        <w:object>
          <v:shape id="_x0000_i1041" o:spt="75" type="#_x0000_t75" style="height:18pt;width:23.45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rFonts w:ascii="仿宋" w:hAnsi="仿宋"/>
        </w:rPr>
        <w:t>——第</w:t>
      </w:r>
      <w:r>
        <w:rPr>
          <w:rFonts w:ascii="仿宋" w:hAnsi="仿宋"/>
        </w:rPr>
        <w:drawing>
          <wp:inline distT="0" distB="0" distL="0" distR="0">
            <wp:extent cx="88900" cy="16637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8900" cy="166370"/>
                    </a:xfrm>
                    <a:prstGeom prst="rect">
                      <a:avLst/>
                    </a:prstGeom>
                    <a:noFill/>
                    <a:ln>
                      <a:noFill/>
                    </a:ln>
                  </pic:spPr>
                </pic:pic>
              </a:graphicData>
            </a:graphic>
          </wp:inline>
        </w:drawing>
      </w:r>
      <w:r>
        <w:rPr>
          <w:rFonts w:ascii="仿宋" w:hAnsi="仿宋"/>
        </w:rPr>
        <w:t>种作物的蒸腾蒸发量，mm；</w:t>
      </w:r>
    </w:p>
    <w:p>
      <w:pPr>
        <w:ind w:firstLine="560"/>
        <w:rPr>
          <w:rFonts w:ascii="仿宋" w:hAnsi="仿宋"/>
        </w:rPr>
      </w:pPr>
      <w:r>
        <w:rPr>
          <w:rFonts w:ascii="仿宋" w:hAnsi="仿宋"/>
        </w:rPr>
        <w:object>
          <v:shape id="_x0000_i1042" o:spt="75" type="#_x0000_t75" style="height:18pt;width:15.25pt;" o:ole="t" filled="f" o:preferrelative="t" stroked="f" coordsize="21600,21600">
            <v:path/>
            <v:fill on="f" focussize="0,0"/>
            <v:stroke on="f" joinstyle="miter"/>
            <v:imagedata r:id="rId52" o:title=""/>
            <o:lock v:ext="edit" aspectratio="t"/>
            <w10:wrap type="none"/>
            <w10:anchorlock/>
          </v:shape>
          <o:OLEObject Type="Embed" ProgID="Equation.3" ShapeID="_x0000_i1042" DrawAspect="Content" ObjectID="_1468075742" r:id="rId51">
            <o:LockedField>false</o:LockedField>
          </o:OLEObject>
        </w:object>
      </w:r>
      <w:r>
        <w:rPr>
          <w:rFonts w:ascii="仿宋" w:hAnsi="仿宋"/>
        </w:rPr>
        <w:t>——第</w:t>
      </w:r>
      <w:r>
        <w:rPr>
          <w:rFonts w:ascii="仿宋" w:hAnsi="仿宋"/>
        </w:rPr>
        <w:drawing>
          <wp:inline distT="0" distB="0" distL="0" distR="0">
            <wp:extent cx="88900" cy="16637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8900" cy="166370"/>
                    </a:xfrm>
                    <a:prstGeom prst="rect">
                      <a:avLst/>
                    </a:prstGeom>
                    <a:noFill/>
                    <a:ln>
                      <a:noFill/>
                    </a:ln>
                  </pic:spPr>
                </pic:pic>
              </a:graphicData>
            </a:graphic>
          </wp:inline>
        </w:drawing>
      </w:r>
      <w:r>
        <w:rPr>
          <w:rFonts w:ascii="仿宋" w:hAnsi="仿宋"/>
        </w:rPr>
        <w:t>种作物生育期内的有效降水量，mm；</w:t>
      </w:r>
    </w:p>
    <w:p>
      <w:pPr>
        <w:ind w:firstLine="560"/>
        <w:rPr>
          <w:rFonts w:ascii="仿宋" w:hAnsi="仿宋"/>
        </w:rPr>
      </w:pPr>
      <w:r>
        <w:rPr>
          <w:rFonts w:ascii="仿宋" w:hAnsi="仿宋"/>
        </w:rPr>
        <w:object>
          <v:shape id="_x0000_i1043" o:spt="75" type="#_x0000_t75" style="height:18pt;width:18pt;" o:ole="t" filled="f" o:preferrelative="t" stroked="f" coordsize="21600,21600">
            <v:path/>
            <v:fill on="f" focussize="0,0"/>
            <v:stroke on="f" joinstyle="miter"/>
            <v:imagedata r:id="rId54" o:title=""/>
            <o:lock v:ext="edit" aspectratio="t"/>
            <w10:wrap type="none"/>
            <w10:anchorlock/>
          </v:shape>
          <o:OLEObject Type="Embed" ProgID="Equation.3" ShapeID="_x0000_i1043" DrawAspect="Content" ObjectID="_1468075743" r:id="rId53">
            <o:LockedField>false</o:LockedField>
          </o:OLEObject>
        </w:object>
      </w:r>
      <w:r>
        <w:rPr>
          <w:rFonts w:ascii="仿宋" w:hAnsi="仿宋"/>
        </w:rPr>
        <w:t>——第</w:t>
      </w:r>
      <w:r>
        <w:rPr>
          <w:rFonts w:ascii="仿宋" w:hAnsi="仿宋"/>
        </w:rPr>
        <w:drawing>
          <wp:inline distT="0" distB="0" distL="0" distR="0">
            <wp:extent cx="88900" cy="166370"/>
            <wp:effectExtent l="0" t="0" r="6350" b="5080"/>
            <wp:docPr id="1432778768" name="图片 143277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78768" name="图片 14327787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8900" cy="166370"/>
                    </a:xfrm>
                    <a:prstGeom prst="rect">
                      <a:avLst/>
                    </a:prstGeom>
                    <a:noFill/>
                    <a:ln>
                      <a:noFill/>
                    </a:ln>
                  </pic:spPr>
                </pic:pic>
              </a:graphicData>
            </a:graphic>
          </wp:inline>
        </w:drawing>
      </w:r>
      <w:r>
        <w:rPr>
          <w:rFonts w:ascii="仿宋" w:hAnsi="仿宋"/>
        </w:rPr>
        <w:t>种作物生育期内地下水利用量，mm；</w:t>
      </w:r>
    </w:p>
    <w:p>
      <w:pPr>
        <w:ind w:firstLine="560"/>
        <w:rPr>
          <w:rFonts w:ascii="仿宋" w:hAnsi="仿宋"/>
        </w:rPr>
      </w:pPr>
      <w:r>
        <w:rPr>
          <w:rFonts w:ascii="仿宋" w:hAnsi="仿宋"/>
        </w:rPr>
        <w:object>
          <v:shape id="_x0000_i1044" o:spt="75" type="#_x0000_t75" style="height:18pt;width:23.45pt;" o:ole="t" filled="f" o:preferrelative="t" stroked="f" coordsize="21600,21600">
            <v:path/>
            <v:fill on="f" focussize="0,0"/>
            <v:stroke on="f" joinstyle="miter"/>
            <v:imagedata r:id="rId57" o:title=""/>
            <o:lock v:ext="edit" aspectratio="t"/>
            <w10:wrap type="none"/>
            <w10:anchorlock/>
          </v:shape>
          <o:OLEObject Type="Embed" ProgID="Equation.3" ShapeID="_x0000_i1044" DrawAspect="Content" ObjectID="_1468075744" r:id="rId56">
            <o:LockedField>false</o:LockedField>
          </o:OLEObject>
        </w:object>
      </w:r>
      <w:r>
        <w:rPr>
          <w:rFonts w:ascii="仿宋" w:hAnsi="仿宋"/>
        </w:rPr>
        <w:t>——第</w:t>
      </w:r>
      <w:r>
        <w:rPr>
          <w:rFonts w:ascii="仿宋" w:hAnsi="仿宋"/>
        </w:rPr>
        <w:drawing>
          <wp:inline distT="0" distB="0" distL="0" distR="0">
            <wp:extent cx="88900" cy="16637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8900" cy="166370"/>
                    </a:xfrm>
                    <a:prstGeom prst="rect">
                      <a:avLst/>
                    </a:prstGeom>
                    <a:noFill/>
                    <a:ln>
                      <a:noFill/>
                    </a:ln>
                  </pic:spPr>
                </pic:pic>
              </a:graphicData>
            </a:graphic>
          </wp:inline>
        </w:drawing>
      </w:r>
      <w:r>
        <w:rPr>
          <w:rFonts w:ascii="仿宋" w:hAnsi="仿宋"/>
        </w:rPr>
        <w:t>种作物生育期始末土壤储水量变化值，mm。</w:t>
      </w:r>
    </w:p>
    <w:p>
      <w:pPr>
        <w:ind w:firstLine="560"/>
        <w:rPr>
          <w:rFonts w:ascii="仿宋" w:hAnsi="仿宋"/>
        </w:rPr>
      </w:pPr>
      <w:r>
        <w:rPr>
          <w:rFonts w:ascii="仿宋" w:hAnsi="仿宋"/>
        </w:rPr>
        <w:t>具体计算方法详见《灌溉与排水工程设计规范》（GB50288-99）。计算出的作物净灌溉定额单位由mm换算为m</w:t>
      </w:r>
      <w:r>
        <w:rPr>
          <w:rFonts w:ascii="仿宋" w:hAnsi="仿宋"/>
          <w:vertAlign w:val="superscript"/>
        </w:rPr>
        <w:t>3</w:t>
      </w:r>
      <w:r>
        <w:rPr>
          <w:rFonts w:ascii="仿宋" w:hAnsi="仿宋"/>
        </w:rPr>
        <w:t>/亩时，需除以换算系数0.667。</w:t>
      </w:r>
    </w:p>
    <w:p>
      <w:pPr>
        <w:pStyle w:val="5"/>
      </w:pPr>
      <w:bookmarkStart w:id="43" w:name="_Toc74582418"/>
      <w:r>
        <w:rPr>
          <w:rFonts w:hint="eastAsia"/>
        </w:rPr>
        <w:t xml:space="preserve">5.1.3.2 </w:t>
      </w:r>
      <w:r>
        <w:t>旱作非充分灌溉净灌溉定额</w:t>
      </w:r>
      <w:bookmarkEnd w:id="43"/>
    </w:p>
    <w:p>
      <w:pPr>
        <w:ind w:firstLine="560"/>
      </w:pPr>
      <w:r>
        <w:t>在水资源紧缺灌区，用水户往往采用非充分灌溉。是否非充分灌溉应根据典型田块观测或实际灌溉经验进行判断。</w:t>
      </w:r>
    </w:p>
    <w:p>
      <w:pPr>
        <w:ind w:firstLine="560"/>
      </w:pPr>
      <w:r>
        <w:t>当观测的进入田间的亩均灌溉用水量小于充分灌溉时的净灌溉定额时，即视为非充分灌溉。具体分为两种情况：</w:t>
      </w:r>
      <w:r>
        <w:rPr>
          <w:rFonts w:hint="eastAsia"/>
        </w:rPr>
        <w:t>①</w:t>
      </w:r>
      <w:r>
        <w:t>灌水次数按照需求不变，但每次灌水都达不到作物生长需要的净灌水定额（即达到充分灌溉时的净灌水定额，下同）；</w:t>
      </w:r>
      <w:r>
        <w:rPr>
          <w:rFonts w:hint="eastAsia"/>
        </w:rPr>
        <w:t>②</w:t>
      </w:r>
      <w:r>
        <w:t>减少灌水次数，但每次灌水均能达到作物生长需要的净灌水定额。满足作物生长需要的净灌溉定额可根据当年灌溉试验站资料或分析计算得到。</w:t>
      </w:r>
    </w:p>
    <w:p>
      <w:pPr>
        <w:ind w:firstLine="560"/>
      </w:pPr>
      <w:r>
        <w:t>非充分灌溉情况下的作物净灌溉定额一般应采用观测分析成果。如果缺乏相关资料，为了简化计算，其净灌溉定额可以采用以下方法估算：</w:t>
      </w:r>
    </w:p>
    <w:p>
      <w:pPr>
        <w:ind w:firstLine="560"/>
      </w:pPr>
      <w:r>
        <w:t>1.当观测的作物亩均毛灌溉用水量小于充分灌溉的净灌溉灌定额的60％时，观测的作物亩均毛灌溉用水量即为净灌溉定额。</w:t>
      </w:r>
    </w:p>
    <w:p>
      <w:pPr>
        <w:ind w:firstLine="560"/>
      </w:pPr>
      <w:r>
        <w:t>2.当观测的作物亩均毛灌溉用水量大于充分灌溉的净灌溉灌定额的60％而小于100%时，将观测的亩均毛灌溉用水量乘以1.0～0.95之间的修正系数作为净灌溉定额。</w:t>
      </w:r>
    </w:p>
    <w:p>
      <w:pPr>
        <w:pStyle w:val="3"/>
      </w:pPr>
      <w:bookmarkStart w:id="44" w:name="_Toc164082426"/>
      <w:r>
        <w:t>5.2</w:t>
      </w:r>
      <w:r>
        <w:rPr>
          <w:rFonts w:hint="eastAsia"/>
        </w:rPr>
        <w:t xml:space="preserve"> </w:t>
      </w:r>
      <w:r>
        <w:t>用水定额制定</w:t>
      </w:r>
      <w:r>
        <w:rPr>
          <w:rFonts w:hint="eastAsia"/>
        </w:rPr>
        <w:t>（2024年）</w:t>
      </w:r>
      <w:bookmarkEnd w:id="44"/>
    </w:p>
    <w:p>
      <w:pPr>
        <w:ind w:firstLine="560"/>
      </w:pPr>
      <w:bookmarkStart w:id="45" w:name="_Hlk164112782"/>
      <w:r>
        <w:rPr>
          <w:rFonts w:hint="eastAsia"/>
        </w:rPr>
        <w:t>根据《新疆维吾尔自治区农业用水定额》（新水厅【2023】67号）洛浦县为V-27南疆塔里木盆地南昆仑山北原带，以此确定复核洛浦罐区各种作物的田间需水量。</w:t>
      </w:r>
    </w:p>
    <w:p>
      <w:pPr>
        <w:ind w:firstLine="560"/>
      </w:pPr>
      <w:r>
        <w:rPr>
          <w:rFonts w:hint="eastAsia"/>
        </w:rPr>
        <w:t>灌溉面积根据洛浦县水利局提供的《2024年和田地区洛浦县作物面积统计表》计算，总灌溉面积77.79万亩，其中：其中耕地面积45.00万亩（常规灌溉40.40万亩、高效节水灌溉4.60万亩）、园地26.32万亩、草地6.00万亩、林地16.02万亩。</w:t>
      </w:r>
    </w:p>
    <w:bookmarkEnd w:id="45"/>
    <w:p>
      <w:pPr>
        <w:pStyle w:val="4"/>
      </w:pPr>
      <w:bookmarkStart w:id="46" w:name="_Toc164082427"/>
      <w:r>
        <w:t>5.2.1</w:t>
      </w:r>
      <w:r>
        <w:rPr>
          <w:rFonts w:hint="eastAsia"/>
        </w:rPr>
        <w:t xml:space="preserve"> </w:t>
      </w:r>
      <w:bookmarkStart w:id="47" w:name="_Hlk163466693"/>
      <w:r>
        <w:rPr>
          <w:rFonts w:hint="eastAsia"/>
        </w:rPr>
        <w:t>常规灌溉</w:t>
      </w:r>
      <w:r>
        <w:t>用水定额的制定</w:t>
      </w:r>
      <w:bookmarkEnd w:id="46"/>
    </w:p>
    <w:bookmarkEnd w:id="47"/>
    <w:p>
      <w:pPr>
        <w:ind w:firstLine="560"/>
      </w:pPr>
      <w:r>
        <w:rPr>
          <w:rFonts w:hint="eastAsia"/>
        </w:rPr>
        <w:t>和田地区洛浦县</w:t>
      </w:r>
      <w:bookmarkStart w:id="48" w:name="_Hlk164109625"/>
      <w:r>
        <w:rPr>
          <w:rFonts w:hint="eastAsia"/>
        </w:rPr>
        <w:t>灌区灌溉水有效利用系</w:t>
      </w:r>
      <w:bookmarkEnd w:id="48"/>
      <w:r>
        <w:rPr>
          <w:rFonts w:hint="eastAsia"/>
        </w:rPr>
        <w:t>数为0.5698。</w:t>
      </w:r>
    </w:p>
    <w:p>
      <w:pPr>
        <w:ind w:firstLine="560"/>
      </w:pPr>
      <w:r>
        <w:rPr>
          <w:rFonts w:hint="eastAsia"/>
        </w:rPr>
        <w:t>洛浦县2024年</w:t>
      </w:r>
      <w:bookmarkStart w:id="49" w:name="_Hlk161079192"/>
      <w:r>
        <w:rPr>
          <w:rFonts w:hint="eastAsia"/>
        </w:rPr>
        <w:t>综合田间毛灌溉定额</w:t>
      </w:r>
      <w:bookmarkEnd w:id="49"/>
      <w:r>
        <w:rPr>
          <w:rFonts w:hint="eastAsia"/>
        </w:rPr>
        <w:t>（m</w:t>
      </w:r>
      <w:r>
        <w:rPr>
          <w:rFonts w:ascii="Calibri" w:hAnsi="Calibri" w:cs="Calibri"/>
        </w:rPr>
        <w:t>³</w:t>
      </w:r>
      <w:r>
        <w:rPr>
          <w:rFonts w:hint="eastAsia"/>
        </w:rPr>
        <w:t>/亩）=综合田间净灌溉定额（m</w:t>
      </w:r>
      <w:r>
        <w:rPr>
          <w:rFonts w:ascii="Calibri" w:hAnsi="Calibri" w:cs="Calibri"/>
        </w:rPr>
        <w:t>³</w:t>
      </w:r>
      <w:r>
        <w:rPr>
          <w:rFonts w:hint="eastAsia"/>
        </w:rPr>
        <w:t>/亩）÷灌区灌溉水有效利用系=636.10m</w:t>
      </w:r>
      <w:r>
        <w:rPr>
          <w:rFonts w:ascii="Calibri" w:hAnsi="Calibri" w:cs="Calibri"/>
        </w:rPr>
        <w:t>³</w:t>
      </w:r>
      <w:r>
        <w:rPr>
          <w:rFonts w:hint="eastAsia"/>
        </w:rPr>
        <w:t>/亩</w:t>
      </w:r>
      <w:bookmarkStart w:id="50" w:name="_Hlk164081633"/>
      <w:r>
        <w:rPr>
          <w:rFonts w:hint="eastAsia"/>
        </w:rPr>
        <w:t>÷</w:t>
      </w:r>
      <w:bookmarkEnd w:id="50"/>
      <w:r>
        <w:rPr>
          <w:rFonts w:hint="eastAsia"/>
        </w:rPr>
        <w:t>0.5698=1116.36（m</w:t>
      </w:r>
      <w:r>
        <w:rPr>
          <w:rFonts w:ascii="Calibri" w:hAnsi="Calibri" w:cs="Calibri"/>
        </w:rPr>
        <w:t>³</w:t>
      </w:r>
      <w:r>
        <w:rPr>
          <w:rFonts w:hint="eastAsia"/>
        </w:rPr>
        <w:t>/亩）。计算详见表5.1。</w:t>
      </w:r>
    </w:p>
    <w:p>
      <w:pPr>
        <w:widowControl/>
        <w:spacing w:after="160" w:line="278" w:lineRule="auto"/>
        <w:ind w:firstLine="0" w:firstLineChars="0"/>
      </w:pPr>
      <w:r>
        <w:br w:type="page"/>
      </w:r>
    </w:p>
    <w:p>
      <w:pPr>
        <w:pStyle w:val="22"/>
      </w:pPr>
      <w:r>
        <w:rPr>
          <w:rFonts w:hint="eastAsia"/>
        </w:rPr>
        <w:t>表5.1  洛浦县2024年常规灌溉综合田间毛灌溉定额计算表</w:t>
      </w:r>
    </w:p>
    <w:tbl>
      <w:tblPr>
        <w:tblStyle w:val="13"/>
        <w:tblW w:w="9099" w:type="dxa"/>
        <w:tblInd w:w="-289" w:type="dxa"/>
        <w:tblLayout w:type="autofit"/>
        <w:tblCellMar>
          <w:top w:w="0" w:type="dxa"/>
          <w:left w:w="108" w:type="dxa"/>
          <w:bottom w:w="0" w:type="dxa"/>
          <w:right w:w="108" w:type="dxa"/>
        </w:tblCellMar>
      </w:tblPr>
      <w:tblGrid>
        <w:gridCol w:w="665"/>
        <w:gridCol w:w="669"/>
        <w:gridCol w:w="1213"/>
        <w:gridCol w:w="737"/>
        <w:gridCol w:w="1204"/>
        <w:gridCol w:w="1379"/>
        <w:gridCol w:w="643"/>
        <w:gridCol w:w="669"/>
        <w:gridCol w:w="844"/>
        <w:gridCol w:w="1076"/>
      </w:tblGrid>
      <w:tr>
        <w:tblPrEx>
          <w:tblCellMar>
            <w:top w:w="0" w:type="dxa"/>
            <w:left w:w="108" w:type="dxa"/>
            <w:bottom w:w="0" w:type="dxa"/>
            <w:right w:w="108" w:type="dxa"/>
          </w:tblCellMar>
        </w:tblPrEx>
        <w:trPr>
          <w:trHeight w:val="285" w:hRule="atLeast"/>
        </w:trPr>
        <w:tc>
          <w:tcPr>
            <w:tcW w:w="665" w:type="dxa"/>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pPr>
              <w:pStyle w:val="23"/>
            </w:pPr>
            <w:bookmarkStart w:id="51" w:name="_Hlk164110797"/>
            <w:r>
              <w:rPr>
                <w:rFonts w:hint="eastAsia"/>
              </w:rPr>
              <w:t>作物种类</w:t>
            </w:r>
          </w:p>
        </w:tc>
        <w:tc>
          <w:tcPr>
            <w:tcW w:w="669"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灌水方法</w:t>
            </w:r>
          </w:p>
        </w:tc>
        <w:tc>
          <w:tcPr>
            <w:tcW w:w="1213"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生长期</w:t>
            </w:r>
          </w:p>
        </w:tc>
        <w:tc>
          <w:tcPr>
            <w:tcW w:w="73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pStyle w:val="23"/>
            </w:pPr>
            <w:r>
              <w:rPr>
                <w:rFonts w:hint="eastAsia"/>
              </w:rPr>
              <w:t>灌水次数</w:t>
            </w:r>
          </w:p>
        </w:tc>
        <w:tc>
          <w:tcPr>
            <w:tcW w:w="2583" w:type="dxa"/>
            <w:gridSpan w:val="2"/>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灌水延续时间</w:t>
            </w:r>
          </w:p>
        </w:tc>
        <w:tc>
          <w:tcPr>
            <w:tcW w:w="1312" w:type="dxa"/>
            <w:gridSpan w:val="2"/>
            <w:tcBorders>
              <w:top w:val="single" w:color="auto" w:sz="4" w:space="0"/>
              <w:left w:val="nil"/>
              <w:bottom w:val="single" w:color="auto" w:sz="4" w:space="0"/>
              <w:right w:val="single" w:color="auto" w:sz="4" w:space="0"/>
            </w:tcBorders>
            <w:shd w:val="clear" w:color="000000" w:fill="FFFFFF"/>
            <w:vAlign w:val="center"/>
          </w:tcPr>
          <w:p>
            <w:pPr>
              <w:pStyle w:val="23"/>
            </w:pPr>
            <w:r>
              <w:rPr>
                <w:rFonts w:hint="eastAsia"/>
              </w:rPr>
              <w:t>灌水定额m</w:t>
            </w:r>
            <w:r>
              <w:rPr>
                <w:rFonts w:ascii="Calibri" w:hAnsi="Calibri" w:cs="Calibri"/>
              </w:rPr>
              <w:t>³</w:t>
            </w:r>
            <w:r>
              <w:rPr>
                <w:rFonts w:hint="eastAsia"/>
              </w:rPr>
              <w:t>/亩</w:t>
            </w:r>
          </w:p>
        </w:tc>
        <w:tc>
          <w:tcPr>
            <w:tcW w:w="84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灌溉面积</w:t>
            </w:r>
          </w:p>
        </w:tc>
        <w:tc>
          <w:tcPr>
            <w:tcW w:w="1076" w:type="dxa"/>
            <w:tcBorders>
              <w:top w:val="single" w:color="auto" w:sz="4" w:space="0"/>
              <w:left w:val="nil"/>
              <w:bottom w:val="single" w:color="auto" w:sz="4" w:space="0"/>
              <w:right w:val="single" w:color="auto" w:sz="4" w:space="0"/>
            </w:tcBorders>
            <w:shd w:val="clear" w:color="auto" w:fill="auto"/>
            <w:noWrap/>
            <w:vAlign w:val="center"/>
          </w:tcPr>
          <w:p>
            <w:pPr>
              <w:pStyle w:val="23"/>
            </w:pPr>
            <w:r>
              <w:rPr>
                <w:rFonts w:hint="eastAsia"/>
              </w:rPr>
              <w:t>用水量</w:t>
            </w:r>
          </w:p>
        </w:tc>
      </w:tr>
      <w:tr>
        <w:tblPrEx>
          <w:tblCellMar>
            <w:top w:w="0" w:type="dxa"/>
            <w:left w:w="108" w:type="dxa"/>
            <w:bottom w:w="0" w:type="dxa"/>
            <w:right w:w="108" w:type="dxa"/>
          </w:tblCellMar>
        </w:tblPrEx>
        <w:trPr>
          <w:trHeight w:val="285" w:hRule="atLeast"/>
        </w:trPr>
        <w:tc>
          <w:tcPr>
            <w:tcW w:w="665" w:type="dxa"/>
            <w:vMerge w:val="continue"/>
            <w:tcBorders>
              <w:top w:val="single" w:color="auto" w:sz="4" w:space="0"/>
              <w:left w:val="single" w:color="auto" w:sz="4" w:space="0"/>
              <w:bottom w:val="single" w:color="000000" w:sz="4" w:space="0"/>
              <w:right w:val="single" w:color="auto" w:sz="4" w:space="0"/>
            </w:tcBorders>
            <w:vAlign w:val="center"/>
          </w:tcPr>
          <w:p>
            <w:pPr>
              <w:pStyle w:val="23"/>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737"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258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643" w:type="dxa"/>
            <w:tcBorders>
              <w:top w:val="nil"/>
              <w:left w:val="nil"/>
              <w:bottom w:val="single" w:color="auto" w:sz="4" w:space="0"/>
              <w:right w:val="single" w:color="auto" w:sz="4" w:space="0"/>
            </w:tcBorders>
            <w:shd w:val="clear" w:color="000000" w:fill="FFFFFF"/>
            <w:vAlign w:val="center"/>
          </w:tcPr>
          <w:p>
            <w:pPr>
              <w:pStyle w:val="23"/>
            </w:pPr>
            <w:r>
              <w:rPr>
                <w:rFonts w:hint="eastAsia"/>
              </w:rPr>
              <w:t>分次</w:t>
            </w:r>
          </w:p>
        </w:tc>
        <w:tc>
          <w:tcPr>
            <w:tcW w:w="669" w:type="dxa"/>
            <w:tcBorders>
              <w:top w:val="nil"/>
              <w:left w:val="nil"/>
              <w:bottom w:val="single" w:color="auto" w:sz="4" w:space="0"/>
              <w:right w:val="nil"/>
            </w:tcBorders>
            <w:shd w:val="clear" w:color="000000" w:fill="FFFFFF"/>
            <w:noWrap/>
            <w:vAlign w:val="center"/>
          </w:tcPr>
          <w:p>
            <w:pPr>
              <w:pStyle w:val="23"/>
              <w:rPr>
                <w:sz w:val="22"/>
              </w:rPr>
            </w:pPr>
            <w:r>
              <w:rPr>
                <w:rFonts w:hint="eastAsia"/>
                <w:sz w:val="22"/>
              </w:rPr>
              <w:t>合计</w:t>
            </w:r>
          </w:p>
        </w:tc>
        <w:tc>
          <w:tcPr>
            <w:tcW w:w="844" w:type="dxa"/>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万亩</w:t>
            </w:r>
          </w:p>
        </w:tc>
        <w:tc>
          <w:tcPr>
            <w:tcW w:w="1076" w:type="dxa"/>
            <w:tcBorders>
              <w:top w:val="nil"/>
              <w:left w:val="nil"/>
              <w:bottom w:val="single" w:color="auto" w:sz="4" w:space="0"/>
              <w:right w:val="single" w:color="auto" w:sz="4" w:space="0"/>
            </w:tcBorders>
            <w:shd w:val="clear" w:color="auto" w:fill="auto"/>
            <w:noWrap/>
            <w:vAlign w:val="center"/>
          </w:tcPr>
          <w:p>
            <w:pPr>
              <w:pStyle w:val="23"/>
            </w:pPr>
            <w:r>
              <w:rPr>
                <w:rFonts w:hint="eastAsia"/>
              </w:rPr>
              <w:t>万m</w:t>
            </w:r>
            <w:r>
              <w:rPr>
                <w:rFonts w:ascii="Calibri" w:hAnsi="Calibri" w:cs="Calibri"/>
              </w:rPr>
              <w:t>³</w:t>
            </w: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冬小麦</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9月15日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10月1日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505</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23.50</w:t>
            </w:r>
          </w:p>
        </w:tc>
        <w:tc>
          <w:tcPr>
            <w:tcW w:w="107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11867.5</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冬灌</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返青</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2月25日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3月27日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拨节</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3月28日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4月19日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抽穗</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4月20日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5月8日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灌浆</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5月9日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5月31日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正播玉米</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3月25日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4月5日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400</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6.20</w:t>
            </w:r>
          </w:p>
        </w:tc>
        <w:tc>
          <w:tcPr>
            <w:tcW w:w="107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2480</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三叶</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4月20日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拨节</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5月5日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5月15日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抽穗</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5月20日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5月31日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灌浆</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6月10日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6月25日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复播玉米</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播前水</w:t>
            </w:r>
          </w:p>
        </w:tc>
        <w:tc>
          <w:tcPr>
            <w:tcW w:w="737"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1</w:t>
            </w:r>
          </w:p>
        </w:tc>
        <w:tc>
          <w:tcPr>
            <w:tcW w:w="1204"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6月10日</w:t>
            </w:r>
          </w:p>
        </w:tc>
        <w:tc>
          <w:tcPr>
            <w:tcW w:w="1379"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6月20日</w:t>
            </w:r>
          </w:p>
        </w:tc>
        <w:tc>
          <w:tcPr>
            <w:tcW w:w="64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60</w:t>
            </w:r>
          </w:p>
        </w:tc>
        <w:tc>
          <w:tcPr>
            <w:tcW w:w="66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355</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26.00</w:t>
            </w:r>
          </w:p>
        </w:tc>
        <w:tc>
          <w:tcPr>
            <w:tcW w:w="107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9230</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三叶</w:t>
            </w:r>
          </w:p>
        </w:tc>
        <w:tc>
          <w:tcPr>
            <w:tcW w:w="737"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2</w:t>
            </w:r>
          </w:p>
        </w:tc>
        <w:tc>
          <w:tcPr>
            <w:tcW w:w="1204"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6月20日</w:t>
            </w:r>
          </w:p>
        </w:tc>
        <w:tc>
          <w:tcPr>
            <w:tcW w:w="1379"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7月10日</w:t>
            </w:r>
          </w:p>
        </w:tc>
        <w:tc>
          <w:tcPr>
            <w:tcW w:w="64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拨节</w:t>
            </w:r>
          </w:p>
        </w:tc>
        <w:tc>
          <w:tcPr>
            <w:tcW w:w="737"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3</w:t>
            </w:r>
          </w:p>
        </w:tc>
        <w:tc>
          <w:tcPr>
            <w:tcW w:w="1204"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7月10日</w:t>
            </w:r>
          </w:p>
        </w:tc>
        <w:tc>
          <w:tcPr>
            <w:tcW w:w="1379"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7月20日</w:t>
            </w:r>
          </w:p>
        </w:tc>
        <w:tc>
          <w:tcPr>
            <w:tcW w:w="64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抽穗</w:t>
            </w:r>
          </w:p>
        </w:tc>
        <w:tc>
          <w:tcPr>
            <w:tcW w:w="737"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4</w:t>
            </w:r>
          </w:p>
        </w:tc>
        <w:tc>
          <w:tcPr>
            <w:tcW w:w="1204"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7月20日</w:t>
            </w:r>
          </w:p>
        </w:tc>
        <w:tc>
          <w:tcPr>
            <w:tcW w:w="1379"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8月10日</w:t>
            </w:r>
          </w:p>
        </w:tc>
        <w:tc>
          <w:tcPr>
            <w:tcW w:w="64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灌浆</w:t>
            </w:r>
          </w:p>
        </w:tc>
        <w:tc>
          <w:tcPr>
            <w:tcW w:w="737"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5</w:t>
            </w:r>
          </w:p>
        </w:tc>
        <w:tc>
          <w:tcPr>
            <w:tcW w:w="1204"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8月10日</w:t>
            </w:r>
          </w:p>
        </w:tc>
        <w:tc>
          <w:tcPr>
            <w:tcW w:w="1379"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8月30日</w:t>
            </w:r>
          </w:p>
        </w:tc>
        <w:tc>
          <w:tcPr>
            <w:tcW w:w="64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　</w:t>
            </w:r>
          </w:p>
        </w:tc>
        <w:tc>
          <w:tcPr>
            <w:tcW w:w="737"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6</w:t>
            </w:r>
          </w:p>
        </w:tc>
        <w:tc>
          <w:tcPr>
            <w:tcW w:w="1204"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8月30日</w:t>
            </w:r>
          </w:p>
        </w:tc>
        <w:tc>
          <w:tcPr>
            <w:tcW w:w="1379"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9月15日</w:t>
            </w:r>
          </w:p>
        </w:tc>
        <w:tc>
          <w:tcPr>
            <w:tcW w:w="643" w:type="dxa"/>
            <w:tcBorders>
              <w:top w:val="nil"/>
              <w:left w:val="nil"/>
              <w:bottom w:val="single" w:color="auto" w:sz="4" w:space="0"/>
              <w:right w:val="single" w:color="auto" w:sz="4" w:space="0"/>
            </w:tcBorders>
            <w:shd w:val="clear" w:color="auto" w:fill="auto"/>
            <w:noWrap/>
            <w:vAlign w:val="center"/>
          </w:tcPr>
          <w:p>
            <w:pPr>
              <w:pStyle w:val="23"/>
              <w:rPr>
                <w:rFonts w:ascii="楷体" w:hAnsi="楷体" w:eastAsia="楷体"/>
              </w:rPr>
            </w:pPr>
            <w:r>
              <w:rPr>
                <w:rFonts w:hint="eastAsia" w:ascii="楷体" w:hAnsi="楷体" w:eastAsia="楷体"/>
              </w:rPr>
              <w:t>55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000000" w:sz="4" w:space="0"/>
              <w:right w:val="single" w:color="auto" w:sz="4" w:space="0"/>
            </w:tcBorders>
            <w:shd w:val="clear" w:color="000000" w:fill="FFFFFF"/>
            <w:noWrap/>
            <w:vAlign w:val="center"/>
          </w:tcPr>
          <w:p>
            <w:pPr>
              <w:pStyle w:val="23"/>
            </w:pPr>
            <w:r>
              <w:rPr>
                <w:rFonts w:hint="eastAsia"/>
              </w:rPr>
              <w:t>油菜</w:t>
            </w:r>
          </w:p>
        </w:tc>
        <w:tc>
          <w:tcPr>
            <w:tcW w:w="669" w:type="dxa"/>
            <w:vMerge w:val="restart"/>
            <w:tcBorders>
              <w:top w:val="nil"/>
              <w:left w:val="single" w:color="auto" w:sz="4" w:space="0"/>
              <w:bottom w:val="single" w:color="000000"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37" w:type="dxa"/>
            <w:tcBorders>
              <w:top w:val="nil"/>
              <w:left w:val="nil"/>
              <w:bottom w:val="nil"/>
              <w:right w:val="single" w:color="auto" w:sz="4" w:space="0"/>
            </w:tcBorders>
            <w:shd w:val="clear" w:color="000000" w:fill="FFFFFF"/>
            <w:noWrap/>
            <w:vAlign w:val="center"/>
          </w:tcPr>
          <w:p>
            <w:pPr>
              <w:pStyle w:val="23"/>
            </w:pPr>
            <w:r>
              <w:rPr>
                <w:rFonts w:hint="eastAsia"/>
              </w:rPr>
              <w:t>1</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4月20日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669" w:type="dxa"/>
            <w:vMerge w:val="restart"/>
            <w:tcBorders>
              <w:top w:val="nil"/>
              <w:left w:val="single" w:color="auto" w:sz="4" w:space="0"/>
              <w:bottom w:val="single" w:color="000000" w:sz="4" w:space="0"/>
              <w:right w:val="nil"/>
            </w:tcBorders>
            <w:shd w:val="clear" w:color="000000" w:fill="FFFFFF"/>
            <w:noWrap/>
            <w:vAlign w:val="center"/>
          </w:tcPr>
          <w:p>
            <w:pPr>
              <w:pStyle w:val="23"/>
              <w:rPr>
                <w:sz w:val="22"/>
              </w:rPr>
            </w:pPr>
            <w:r>
              <w:rPr>
                <w:rFonts w:hint="eastAsia"/>
                <w:sz w:val="22"/>
              </w:rPr>
              <w:t>370</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3.50</w:t>
            </w:r>
          </w:p>
        </w:tc>
        <w:tc>
          <w:tcPr>
            <w:tcW w:w="1076" w:type="dxa"/>
            <w:vMerge w:val="restart"/>
            <w:tcBorders>
              <w:top w:val="nil"/>
              <w:left w:val="single" w:color="auto" w:sz="4" w:space="0"/>
              <w:bottom w:val="single" w:color="000000"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1295</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000000" w:sz="4" w:space="0"/>
              <w:right w:val="single" w:color="auto" w:sz="4" w:space="0"/>
            </w:tcBorders>
            <w:vAlign w:val="center"/>
          </w:tcPr>
          <w:p>
            <w:pPr>
              <w:pStyle w:val="23"/>
            </w:pPr>
          </w:p>
        </w:tc>
        <w:tc>
          <w:tcPr>
            <w:tcW w:w="669" w:type="dxa"/>
            <w:vMerge w:val="continue"/>
            <w:tcBorders>
              <w:top w:val="nil"/>
              <w:left w:val="single" w:color="auto" w:sz="4" w:space="0"/>
              <w:bottom w:val="single" w:color="000000"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苗期抽苔</w:t>
            </w:r>
          </w:p>
        </w:tc>
        <w:tc>
          <w:tcPr>
            <w:tcW w:w="737" w:type="dxa"/>
            <w:tcBorders>
              <w:top w:val="single" w:color="auto" w:sz="4" w:space="0"/>
              <w:left w:val="nil"/>
              <w:bottom w:val="nil"/>
              <w:right w:val="single" w:color="auto" w:sz="4" w:space="0"/>
            </w:tcBorders>
            <w:shd w:val="clear" w:color="000000" w:fill="FFFFFF"/>
            <w:noWrap/>
            <w:vAlign w:val="center"/>
          </w:tcPr>
          <w:p>
            <w:pPr>
              <w:pStyle w:val="23"/>
            </w:pPr>
            <w:r>
              <w:rPr>
                <w:rFonts w:hint="eastAsia"/>
              </w:rPr>
              <w:t>2</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5月25日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669" w:type="dxa"/>
            <w:vMerge w:val="continue"/>
            <w:tcBorders>
              <w:top w:val="nil"/>
              <w:left w:val="single" w:color="auto" w:sz="4" w:space="0"/>
              <w:bottom w:val="single" w:color="000000"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000000" w:sz="4" w:space="0"/>
              <w:right w:val="single" w:color="auto" w:sz="4" w:space="0"/>
            </w:tcBorders>
            <w:vAlign w:val="center"/>
          </w:tcPr>
          <w:p>
            <w:pPr>
              <w:pStyle w:val="23"/>
            </w:pPr>
          </w:p>
        </w:tc>
        <w:tc>
          <w:tcPr>
            <w:tcW w:w="669" w:type="dxa"/>
            <w:vMerge w:val="continue"/>
            <w:tcBorders>
              <w:top w:val="nil"/>
              <w:left w:val="single" w:color="auto" w:sz="4" w:space="0"/>
              <w:bottom w:val="single" w:color="000000"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抽苔开花</w:t>
            </w:r>
          </w:p>
        </w:tc>
        <w:tc>
          <w:tcPr>
            <w:tcW w:w="737" w:type="dxa"/>
            <w:tcBorders>
              <w:top w:val="single" w:color="auto" w:sz="4" w:space="0"/>
              <w:left w:val="nil"/>
              <w:bottom w:val="nil"/>
              <w:right w:val="single" w:color="auto" w:sz="4" w:space="0"/>
            </w:tcBorders>
            <w:shd w:val="clear" w:color="000000" w:fill="FFFFFF"/>
            <w:noWrap/>
            <w:vAlign w:val="center"/>
          </w:tcPr>
          <w:p>
            <w:pPr>
              <w:pStyle w:val="23"/>
            </w:pPr>
            <w:r>
              <w:rPr>
                <w:rFonts w:hint="eastAsia"/>
              </w:rPr>
              <w:t>3</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6月20日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669" w:type="dxa"/>
            <w:vMerge w:val="continue"/>
            <w:tcBorders>
              <w:top w:val="nil"/>
              <w:left w:val="single" w:color="auto" w:sz="4" w:space="0"/>
              <w:bottom w:val="single" w:color="000000"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000000" w:sz="4" w:space="0"/>
              <w:right w:val="single" w:color="auto" w:sz="4" w:space="0"/>
            </w:tcBorders>
            <w:vAlign w:val="center"/>
          </w:tcPr>
          <w:p>
            <w:pPr>
              <w:pStyle w:val="23"/>
            </w:pPr>
          </w:p>
        </w:tc>
        <w:tc>
          <w:tcPr>
            <w:tcW w:w="669" w:type="dxa"/>
            <w:vMerge w:val="continue"/>
            <w:tcBorders>
              <w:top w:val="nil"/>
              <w:left w:val="single" w:color="auto" w:sz="4" w:space="0"/>
              <w:bottom w:val="single" w:color="000000"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开花</w:t>
            </w:r>
          </w:p>
        </w:tc>
        <w:tc>
          <w:tcPr>
            <w:tcW w:w="737" w:type="dxa"/>
            <w:tcBorders>
              <w:top w:val="single" w:color="auto" w:sz="4" w:space="0"/>
              <w:left w:val="nil"/>
              <w:bottom w:val="nil"/>
              <w:right w:val="single" w:color="auto" w:sz="4" w:space="0"/>
            </w:tcBorders>
            <w:shd w:val="clear" w:color="000000" w:fill="FFFFFF"/>
            <w:noWrap/>
            <w:vAlign w:val="center"/>
          </w:tcPr>
          <w:p>
            <w:pPr>
              <w:pStyle w:val="23"/>
            </w:pPr>
            <w:r>
              <w:rPr>
                <w:rFonts w:hint="eastAsia"/>
              </w:rPr>
              <w:t>4</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7月20日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669" w:type="dxa"/>
            <w:vMerge w:val="continue"/>
            <w:tcBorders>
              <w:top w:val="nil"/>
              <w:left w:val="single" w:color="auto" w:sz="4" w:space="0"/>
              <w:bottom w:val="single" w:color="000000"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000000" w:sz="4" w:space="0"/>
              <w:right w:val="single" w:color="auto" w:sz="4" w:space="0"/>
            </w:tcBorders>
            <w:vAlign w:val="center"/>
          </w:tcPr>
          <w:p>
            <w:pPr>
              <w:pStyle w:val="23"/>
            </w:pPr>
          </w:p>
        </w:tc>
        <w:tc>
          <w:tcPr>
            <w:tcW w:w="669" w:type="dxa"/>
            <w:vMerge w:val="continue"/>
            <w:tcBorders>
              <w:top w:val="nil"/>
              <w:left w:val="single" w:color="auto" w:sz="4" w:space="0"/>
              <w:bottom w:val="single" w:color="000000"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灌浆</w:t>
            </w:r>
          </w:p>
        </w:tc>
        <w:tc>
          <w:tcPr>
            <w:tcW w:w="737" w:type="dxa"/>
            <w:tcBorders>
              <w:top w:val="single" w:color="auto" w:sz="4" w:space="0"/>
              <w:left w:val="nil"/>
              <w:bottom w:val="nil"/>
              <w:right w:val="single" w:color="auto" w:sz="4" w:space="0"/>
            </w:tcBorders>
            <w:shd w:val="clear" w:color="000000" w:fill="FFFFFF"/>
            <w:noWrap/>
            <w:vAlign w:val="center"/>
          </w:tcPr>
          <w:p>
            <w:pPr>
              <w:pStyle w:val="23"/>
            </w:pPr>
            <w:r>
              <w:rPr>
                <w:rFonts w:hint="eastAsia"/>
              </w:rPr>
              <w:t>5</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8月20日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669" w:type="dxa"/>
            <w:vMerge w:val="continue"/>
            <w:tcBorders>
              <w:top w:val="nil"/>
              <w:left w:val="single" w:color="auto" w:sz="4" w:space="0"/>
              <w:bottom w:val="single" w:color="000000"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正播瓜菜</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37" w:type="dxa"/>
            <w:tcBorders>
              <w:top w:val="single" w:color="auto" w:sz="4" w:space="0"/>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6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530</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2.20</w:t>
            </w:r>
          </w:p>
        </w:tc>
        <w:tc>
          <w:tcPr>
            <w:tcW w:w="107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1166</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苗期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花期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结果</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7月15日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复播瓜菜</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7月16日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6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530</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3.00</w:t>
            </w:r>
          </w:p>
        </w:tc>
        <w:tc>
          <w:tcPr>
            <w:tcW w:w="107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1590</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苗期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8月25日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花期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9月20日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结果</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10月1日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10月31日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园地</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萌芽</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4月10日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85</w:t>
            </w:r>
          </w:p>
        </w:tc>
        <w:tc>
          <w:tcPr>
            <w:tcW w:w="66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515</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26.32</w:t>
            </w:r>
          </w:p>
        </w:tc>
        <w:tc>
          <w:tcPr>
            <w:tcW w:w="107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13554.80</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生长期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6月10日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开花</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果实生长</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90</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成熟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冬灌</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w:t>
            </w:r>
          </w:p>
        </w:tc>
        <w:tc>
          <w:tcPr>
            <w:tcW w:w="1204"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11月1日</w:t>
            </w:r>
          </w:p>
        </w:tc>
        <w:tc>
          <w:tcPr>
            <w:tcW w:w="1379"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11月30日</w:t>
            </w:r>
          </w:p>
        </w:tc>
        <w:tc>
          <w:tcPr>
            <w:tcW w:w="64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85</w:t>
            </w:r>
          </w:p>
        </w:tc>
        <w:tc>
          <w:tcPr>
            <w:tcW w:w="669"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076"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bookmarkEnd w:id="51"/>
    </w:tbl>
    <w:p>
      <w:pPr>
        <w:pStyle w:val="23"/>
      </w:pPr>
    </w:p>
    <w:p>
      <w:pPr>
        <w:pStyle w:val="22"/>
      </w:pPr>
      <w:r>
        <w:rPr>
          <w:rFonts w:hint="eastAsia"/>
        </w:rPr>
        <w:t>续表5.1  洛浦县2024年常规灌溉综合田间毛灌溉定额计算表</w:t>
      </w:r>
    </w:p>
    <w:tbl>
      <w:tblPr>
        <w:tblStyle w:val="13"/>
        <w:tblW w:w="9215" w:type="dxa"/>
        <w:tblInd w:w="-431" w:type="dxa"/>
        <w:tblLayout w:type="autofit"/>
        <w:tblCellMar>
          <w:top w:w="0" w:type="dxa"/>
          <w:left w:w="108" w:type="dxa"/>
          <w:bottom w:w="0" w:type="dxa"/>
          <w:right w:w="108" w:type="dxa"/>
        </w:tblCellMar>
      </w:tblPr>
      <w:tblGrid>
        <w:gridCol w:w="665"/>
        <w:gridCol w:w="669"/>
        <w:gridCol w:w="1213"/>
        <w:gridCol w:w="737"/>
        <w:gridCol w:w="1395"/>
        <w:gridCol w:w="1276"/>
        <w:gridCol w:w="746"/>
        <w:gridCol w:w="546"/>
        <w:gridCol w:w="844"/>
        <w:gridCol w:w="1124"/>
      </w:tblGrid>
      <w:tr>
        <w:tblPrEx>
          <w:tblCellMar>
            <w:top w:w="0" w:type="dxa"/>
            <w:left w:w="108" w:type="dxa"/>
            <w:bottom w:w="0" w:type="dxa"/>
            <w:right w:w="108" w:type="dxa"/>
          </w:tblCellMar>
        </w:tblPrEx>
        <w:trPr>
          <w:trHeight w:val="285" w:hRule="atLeast"/>
        </w:trPr>
        <w:tc>
          <w:tcPr>
            <w:tcW w:w="665" w:type="dxa"/>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pPr>
              <w:pStyle w:val="23"/>
            </w:pPr>
            <w:r>
              <w:rPr>
                <w:rFonts w:hint="eastAsia"/>
              </w:rPr>
              <w:t>作物种类</w:t>
            </w:r>
          </w:p>
        </w:tc>
        <w:tc>
          <w:tcPr>
            <w:tcW w:w="669"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灌水方法</w:t>
            </w:r>
          </w:p>
        </w:tc>
        <w:tc>
          <w:tcPr>
            <w:tcW w:w="1213"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生长期</w:t>
            </w:r>
          </w:p>
        </w:tc>
        <w:tc>
          <w:tcPr>
            <w:tcW w:w="73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pStyle w:val="23"/>
            </w:pPr>
            <w:r>
              <w:rPr>
                <w:rFonts w:hint="eastAsia"/>
              </w:rPr>
              <w:t>灌水次数</w:t>
            </w:r>
          </w:p>
        </w:tc>
        <w:tc>
          <w:tcPr>
            <w:tcW w:w="2671" w:type="dxa"/>
            <w:gridSpan w:val="2"/>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灌水延续时间</w:t>
            </w:r>
          </w:p>
        </w:tc>
        <w:tc>
          <w:tcPr>
            <w:tcW w:w="1292" w:type="dxa"/>
            <w:gridSpan w:val="2"/>
            <w:tcBorders>
              <w:top w:val="single" w:color="auto" w:sz="4" w:space="0"/>
              <w:left w:val="nil"/>
              <w:bottom w:val="single" w:color="auto" w:sz="4" w:space="0"/>
              <w:right w:val="single" w:color="auto" w:sz="4" w:space="0"/>
            </w:tcBorders>
            <w:shd w:val="clear" w:color="000000" w:fill="FFFFFF"/>
            <w:vAlign w:val="center"/>
          </w:tcPr>
          <w:p>
            <w:pPr>
              <w:pStyle w:val="23"/>
            </w:pPr>
            <w:r>
              <w:rPr>
                <w:rFonts w:hint="eastAsia"/>
              </w:rPr>
              <w:t>灌水定额m</w:t>
            </w:r>
            <w:r>
              <w:rPr>
                <w:rFonts w:ascii="Calibri" w:hAnsi="Calibri" w:cs="Calibri"/>
              </w:rPr>
              <w:t>³</w:t>
            </w:r>
            <w:r>
              <w:rPr>
                <w:rFonts w:hint="eastAsia"/>
              </w:rPr>
              <w:t>/亩</w:t>
            </w:r>
          </w:p>
        </w:tc>
        <w:tc>
          <w:tcPr>
            <w:tcW w:w="84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灌溉面积</w:t>
            </w:r>
          </w:p>
        </w:tc>
        <w:tc>
          <w:tcPr>
            <w:tcW w:w="1124" w:type="dxa"/>
            <w:tcBorders>
              <w:top w:val="single" w:color="auto" w:sz="4" w:space="0"/>
              <w:left w:val="nil"/>
              <w:bottom w:val="single" w:color="auto" w:sz="4" w:space="0"/>
              <w:right w:val="single" w:color="auto" w:sz="4" w:space="0"/>
            </w:tcBorders>
            <w:shd w:val="clear" w:color="auto" w:fill="auto"/>
            <w:noWrap/>
            <w:vAlign w:val="center"/>
          </w:tcPr>
          <w:p>
            <w:pPr>
              <w:pStyle w:val="23"/>
            </w:pPr>
            <w:r>
              <w:rPr>
                <w:rFonts w:hint="eastAsia"/>
              </w:rPr>
              <w:t>用水量</w:t>
            </w:r>
          </w:p>
        </w:tc>
      </w:tr>
      <w:tr>
        <w:tblPrEx>
          <w:tblCellMar>
            <w:top w:w="0" w:type="dxa"/>
            <w:left w:w="108" w:type="dxa"/>
            <w:bottom w:w="0" w:type="dxa"/>
            <w:right w:w="108" w:type="dxa"/>
          </w:tblCellMar>
        </w:tblPrEx>
        <w:trPr>
          <w:trHeight w:val="285" w:hRule="atLeast"/>
        </w:trPr>
        <w:tc>
          <w:tcPr>
            <w:tcW w:w="665" w:type="dxa"/>
            <w:vMerge w:val="continue"/>
            <w:tcBorders>
              <w:top w:val="single" w:color="auto" w:sz="4" w:space="0"/>
              <w:left w:val="single" w:color="auto" w:sz="4" w:space="0"/>
              <w:bottom w:val="single" w:color="000000" w:sz="4" w:space="0"/>
              <w:right w:val="single" w:color="auto" w:sz="4" w:space="0"/>
            </w:tcBorders>
            <w:vAlign w:val="center"/>
          </w:tcPr>
          <w:p>
            <w:pPr>
              <w:pStyle w:val="23"/>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737"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267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746" w:type="dxa"/>
            <w:tcBorders>
              <w:top w:val="nil"/>
              <w:left w:val="nil"/>
              <w:bottom w:val="single" w:color="auto" w:sz="4" w:space="0"/>
              <w:right w:val="single" w:color="auto" w:sz="4" w:space="0"/>
            </w:tcBorders>
            <w:shd w:val="clear" w:color="000000" w:fill="FFFFFF"/>
            <w:vAlign w:val="center"/>
          </w:tcPr>
          <w:p>
            <w:pPr>
              <w:pStyle w:val="23"/>
            </w:pPr>
            <w:r>
              <w:rPr>
                <w:rFonts w:hint="eastAsia"/>
              </w:rPr>
              <w:t>分次</w:t>
            </w:r>
          </w:p>
        </w:tc>
        <w:tc>
          <w:tcPr>
            <w:tcW w:w="546" w:type="dxa"/>
            <w:tcBorders>
              <w:top w:val="nil"/>
              <w:left w:val="nil"/>
              <w:bottom w:val="single" w:color="auto" w:sz="4" w:space="0"/>
              <w:right w:val="nil"/>
            </w:tcBorders>
            <w:shd w:val="clear" w:color="000000" w:fill="FFFFFF"/>
            <w:noWrap/>
            <w:vAlign w:val="center"/>
          </w:tcPr>
          <w:p>
            <w:pPr>
              <w:pStyle w:val="23"/>
              <w:rPr>
                <w:sz w:val="22"/>
              </w:rPr>
            </w:pPr>
            <w:r>
              <w:rPr>
                <w:rFonts w:hint="eastAsia"/>
                <w:sz w:val="22"/>
              </w:rPr>
              <w:t>合计</w:t>
            </w:r>
          </w:p>
        </w:tc>
        <w:tc>
          <w:tcPr>
            <w:tcW w:w="844" w:type="dxa"/>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万亩</w:t>
            </w:r>
          </w:p>
        </w:tc>
        <w:tc>
          <w:tcPr>
            <w:tcW w:w="1124" w:type="dxa"/>
            <w:tcBorders>
              <w:top w:val="nil"/>
              <w:left w:val="nil"/>
              <w:bottom w:val="single" w:color="auto" w:sz="4" w:space="0"/>
              <w:right w:val="single" w:color="auto" w:sz="4" w:space="0"/>
            </w:tcBorders>
            <w:shd w:val="clear" w:color="auto" w:fill="auto"/>
            <w:noWrap/>
            <w:vAlign w:val="center"/>
          </w:tcPr>
          <w:p>
            <w:pPr>
              <w:pStyle w:val="23"/>
            </w:pPr>
            <w:r>
              <w:rPr>
                <w:rFonts w:hint="eastAsia"/>
              </w:rPr>
              <w:t>万m</w:t>
            </w:r>
            <w:r>
              <w:rPr>
                <w:rFonts w:ascii="Calibri" w:hAnsi="Calibri" w:cs="Calibri"/>
              </w:rPr>
              <w:t>³</w:t>
            </w: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草地</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返青</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4月10日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65</w:t>
            </w:r>
          </w:p>
        </w:tc>
        <w:tc>
          <w:tcPr>
            <w:tcW w:w="546"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410</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6.00</w:t>
            </w:r>
          </w:p>
        </w:tc>
        <w:tc>
          <w:tcPr>
            <w:tcW w:w="1124"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2460</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分支</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6月10日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65</w:t>
            </w:r>
          </w:p>
        </w:tc>
        <w:tc>
          <w:tcPr>
            <w:tcW w:w="546"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生长期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546"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孕蕾</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546"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花期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546"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成熟</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11月20日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12月15日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546" w:type="dxa"/>
            <w:vMerge w:val="continue"/>
            <w:tcBorders>
              <w:top w:val="nil"/>
              <w:left w:val="single" w:color="auto" w:sz="4" w:space="0"/>
              <w:bottom w:val="single" w:color="auto" w:sz="4" w:space="0"/>
              <w:right w:val="nil"/>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林地</w:t>
            </w:r>
          </w:p>
        </w:tc>
        <w:tc>
          <w:tcPr>
            <w:tcW w:w="669"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萌芽</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4月10日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546"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440</w:t>
            </w:r>
          </w:p>
        </w:tc>
        <w:tc>
          <w:tcPr>
            <w:tcW w:w="844"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16.02</w:t>
            </w:r>
          </w:p>
        </w:tc>
        <w:tc>
          <w:tcPr>
            <w:tcW w:w="1124"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7048.8</w:t>
            </w: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新梢生长</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6月10日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营养生长</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营养生长</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营养生长</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9月30日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冬灌</w:t>
            </w:r>
          </w:p>
        </w:tc>
        <w:tc>
          <w:tcPr>
            <w:tcW w:w="737"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11月20日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12月15日</w:t>
            </w:r>
          </w:p>
        </w:tc>
        <w:tc>
          <w:tcPr>
            <w:tcW w:w="74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70</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300" w:hRule="atLeast"/>
        </w:trPr>
        <w:tc>
          <w:tcPr>
            <w:tcW w:w="665"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pPr>
            <w:r>
              <w:rPr>
                <w:rFonts w:hint="eastAsia"/>
              </w:rPr>
              <w:t>其他</w:t>
            </w:r>
          </w:p>
        </w:tc>
        <w:tc>
          <w:tcPr>
            <w:tcW w:w="669"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pPr>
            <w:r>
              <w:rPr>
                <w:rFonts w:hint="eastAsia"/>
              </w:rPr>
              <w:t>小畦灌</w:t>
            </w:r>
          </w:p>
        </w:tc>
        <w:tc>
          <w:tcPr>
            <w:tcW w:w="121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37" w:type="dxa"/>
            <w:tcBorders>
              <w:top w:val="nil"/>
              <w:left w:val="nil"/>
              <w:bottom w:val="single" w:color="auto" w:sz="4" w:space="0"/>
              <w:right w:val="single" w:color="auto" w:sz="4" w:space="0"/>
            </w:tcBorders>
            <w:shd w:val="clear" w:color="auto" w:fill="auto"/>
            <w:noWrap/>
            <w:vAlign w:val="center"/>
          </w:tcPr>
          <w:p>
            <w:pPr>
              <w:pStyle w:val="23"/>
            </w:pPr>
            <w:r>
              <w:rPr>
                <w:rFonts w:hint="eastAsia"/>
              </w:rPr>
              <w:t>1</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4月20日</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100</w:t>
            </w:r>
          </w:p>
        </w:tc>
        <w:tc>
          <w:tcPr>
            <w:tcW w:w="54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sz w:val="22"/>
              </w:rPr>
            </w:pPr>
            <w:r>
              <w:rPr>
                <w:rFonts w:hint="eastAsia"/>
                <w:sz w:val="22"/>
              </w:rPr>
              <w:t>515</w:t>
            </w:r>
          </w:p>
        </w:tc>
        <w:tc>
          <w:tcPr>
            <w:tcW w:w="844"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sz w:val="22"/>
              </w:rPr>
            </w:pPr>
            <w:r>
              <w:rPr>
                <w:rFonts w:hint="eastAsia"/>
                <w:sz w:val="22"/>
              </w:rPr>
              <w:t>5.00</w:t>
            </w:r>
          </w:p>
        </w:tc>
        <w:tc>
          <w:tcPr>
            <w:tcW w:w="1124" w:type="dxa"/>
            <w:vMerge w:val="restart"/>
            <w:tcBorders>
              <w:top w:val="nil"/>
              <w:left w:val="single" w:color="auto" w:sz="4" w:space="0"/>
              <w:bottom w:val="single" w:color="000000"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2575</w:t>
            </w:r>
          </w:p>
        </w:tc>
      </w:tr>
      <w:tr>
        <w:tblPrEx>
          <w:tblCellMar>
            <w:top w:w="0" w:type="dxa"/>
            <w:left w:w="108" w:type="dxa"/>
            <w:bottom w:w="0" w:type="dxa"/>
            <w:right w:w="108" w:type="dxa"/>
          </w:tblCellMar>
        </w:tblPrEx>
        <w:trPr>
          <w:trHeight w:val="300"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37" w:type="dxa"/>
            <w:tcBorders>
              <w:top w:val="nil"/>
              <w:left w:val="nil"/>
              <w:bottom w:val="single" w:color="auto" w:sz="4" w:space="0"/>
              <w:right w:val="single" w:color="auto" w:sz="4" w:space="0"/>
            </w:tcBorders>
            <w:shd w:val="clear" w:color="auto" w:fill="auto"/>
            <w:noWrap/>
            <w:vAlign w:val="center"/>
          </w:tcPr>
          <w:p>
            <w:pPr>
              <w:pStyle w:val="23"/>
            </w:pPr>
            <w:r>
              <w:rPr>
                <w:rFonts w:hint="eastAsia"/>
              </w:rPr>
              <w:t>2</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5月25日</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100</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300"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37" w:type="dxa"/>
            <w:tcBorders>
              <w:top w:val="nil"/>
              <w:left w:val="nil"/>
              <w:bottom w:val="single" w:color="auto" w:sz="4" w:space="0"/>
              <w:right w:val="single" w:color="auto" w:sz="4" w:space="0"/>
            </w:tcBorders>
            <w:shd w:val="clear" w:color="auto" w:fill="auto"/>
            <w:noWrap/>
            <w:vAlign w:val="center"/>
          </w:tcPr>
          <w:p>
            <w:pPr>
              <w:pStyle w:val="23"/>
            </w:pPr>
            <w:r>
              <w:rPr>
                <w:rFonts w:hint="eastAsia"/>
              </w:rPr>
              <w:t>3</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6月20日</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105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300"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37" w:type="dxa"/>
            <w:tcBorders>
              <w:top w:val="nil"/>
              <w:left w:val="nil"/>
              <w:bottom w:val="single" w:color="auto" w:sz="4" w:space="0"/>
              <w:right w:val="single" w:color="auto" w:sz="4" w:space="0"/>
            </w:tcBorders>
            <w:shd w:val="clear" w:color="auto" w:fill="auto"/>
            <w:noWrap/>
            <w:vAlign w:val="center"/>
          </w:tcPr>
          <w:p>
            <w:pPr>
              <w:pStyle w:val="23"/>
            </w:pPr>
            <w:r>
              <w:rPr>
                <w:rFonts w:hint="eastAsia"/>
              </w:rPr>
              <w:t>4</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7月20日</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105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300" w:hRule="atLeast"/>
        </w:trPr>
        <w:tc>
          <w:tcPr>
            <w:tcW w:w="665" w:type="dxa"/>
            <w:vMerge w:val="continue"/>
            <w:tcBorders>
              <w:top w:val="nil"/>
              <w:left w:val="single" w:color="auto" w:sz="4" w:space="0"/>
              <w:bottom w:val="single" w:color="auto" w:sz="4" w:space="0"/>
              <w:right w:val="single" w:color="auto" w:sz="4" w:space="0"/>
            </w:tcBorders>
            <w:vAlign w:val="center"/>
          </w:tcPr>
          <w:p>
            <w:pPr>
              <w:pStyle w:val="23"/>
            </w:pPr>
          </w:p>
        </w:tc>
        <w:tc>
          <w:tcPr>
            <w:tcW w:w="669" w:type="dxa"/>
            <w:vMerge w:val="continue"/>
            <w:tcBorders>
              <w:top w:val="nil"/>
              <w:left w:val="single" w:color="auto" w:sz="4" w:space="0"/>
              <w:bottom w:val="single" w:color="auto" w:sz="4" w:space="0"/>
              <w:right w:val="single" w:color="auto" w:sz="4" w:space="0"/>
            </w:tcBorders>
            <w:vAlign w:val="center"/>
          </w:tcPr>
          <w:p>
            <w:pPr>
              <w:pStyle w:val="23"/>
            </w:pPr>
          </w:p>
        </w:tc>
        <w:tc>
          <w:tcPr>
            <w:tcW w:w="121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37" w:type="dxa"/>
            <w:tcBorders>
              <w:top w:val="nil"/>
              <w:left w:val="nil"/>
              <w:bottom w:val="single" w:color="auto" w:sz="4" w:space="0"/>
              <w:right w:val="single" w:color="auto" w:sz="4" w:space="0"/>
            </w:tcBorders>
            <w:shd w:val="clear" w:color="auto" w:fill="auto"/>
            <w:noWrap/>
            <w:vAlign w:val="center"/>
          </w:tcPr>
          <w:p>
            <w:pPr>
              <w:pStyle w:val="23"/>
            </w:pPr>
            <w:r>
              <w:rPr>
                <w:rFonts w:hint="eastAsia"/>
              </w:rPr>
              <w:t>5</w:t>
            </w:r>
          </w:p>
        </w:tc>
        <w:tc>
          <w:tcPr>
            <w:tcW w:w="139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27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8月20日</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105</w:t>
            </w:r>
          </w:p>
        </w:tc>
        <w:tc>
          <w:tcPr>
            <w:tcW w:w="546"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844"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1124" w:type="dxa"/>
            <w:vMerge w:val="continue"/>
            <w:tcBorders>
              <w:top w:val="nil"/>
              <w:left w:val="single" w:color="auto" w:sz="4" w:space="0"/>
              <w:bottom w:val="single" w:color="000000"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30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pPr>
              <w:pStyle w:val="23"/>
            </w:pPr>
            <w:r>
              <w:rPr>
                <w:rFonts w:hint="eastAsia"/>
              </w:rPr>
              <w:t>合计</w:t>
            </w:r>
          </w:p>
        </w:tc>
        <w:tc>
          <w:tcPr>
            <w:tcW w:w="669"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121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37"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1395"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127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54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84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117.74</w:t>
            </w:r>
          </w:p>
        </w:tc>
        <w:tc>
          <w:tcPr>
            <w:tcW w:w="112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53267.10</w:t>
            </w:r>
          </w:p>
        </w:tc>
      </w:tr>
      <w:tr>
        <w:tblPrEx>
          <w:tblCellMar>
            <w:top w:w="0" w:type="dxa"/>
            <w:left w:w="108" w:type="dxa"/>
            <w:bottom w:w="0" w:type="dxa"/>
            <w:right w:w="108" w:type="dxa"/>
          </w:tblCellMar>
        </w:tblPrEx>
        <w:trPr>
          <w:trHeight w:val="300" w:hRule="atLeast"/>
        </w:trPr>
        <w:tc>
          <w:tcPr>
            <w:tcW w:w="4679"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pPr>
            <w:r>
              <w:rPr>
                <w:rFonts w:hint="eastAsia"/>
              </w:rPr>
              <w:t>灌溉面积（万亩）</w:t>
            </w:r>
          </w:p>
        </w:tc>
        <w:tc>
          <w:tcPr>
            <w:tcW w:w="127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546" w:type="dxa"/>
            <w:tcBorders>
              <w:top w:val="nil"/>
              <w:left w:val="nil"/>
              <w:bottom w:val="single" w:color="auto" w:sz="4" w:space="0"/>
              <w:right w:val="single" w:color="auto" w:sz="4" w:space="0"/>
            </w:tcBorders>
            <w:shd w:val="clear" w:color="auto" w:fill="auto"/>
            <w:noWrap/>
            <w:vAlign w:val="center"/>
          </w:tcPr>
          <w:p>
            <w:pPr>
              <w:pStyle w:val="23"/>
              <w:rPr>
                <w:sz w:val="22"/>
              </w:rPr>
            </w:pPr>
            <w:r>
              <w:rPr>
                <w:rFonts w:hint="eastAsia"/>
                <w:sz w:val="22"/>
              </w:rPr>
              <w:t>　</w:t>
            </w:r>
          </w:p>
        </w:tc>
        <w:tc>
          <w:tcPr>
            <w:tcW w:w="844" w:type="dxa"/>
            <w:tcBorders>
              <w:top w:val="nil"/>
              <w:left w:val="nil"/>
              <w:bottom w:val="single" w:color="auto" w:sz="4" w:space="0"/>
              <w:right w:val="single" w:color="auto" w:sz="4" w:space="0"/>
            </w:tcBorders>
            <w:shd w:val="clear" w:color="auto" w:fill="auto"/>
            <w:noWrap/>
            <w:vAlign w:val="center"/>
          </w:tcPr>
          <w:p>
            <w:pPr>
              <w:pStyle w:val="23"/>
              <w:rPr>
                <w:sz w:val="22"/>
              </w:rPr>
            </w:pPr>
            <w:r>
              <w:rPr>
                <w:rFonts w:hint="eastAsia"/>
                <w:sz w:val="22"/>
              </w:rPr>
              <w:t>　</w:t>
            </w:r>
          </w:p>
        </w:tc>
        <w:tc>
          <w:tcPr>
            <w:tcW w:w="112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83.74</w:t>
            </w:r>
          </w:p>
        </w:tc>
      </w:tr>
      <w:tr>
        <w:tblPrEx>
          <w:tblCellMar>
            <w:top w:w="0" w:type="dxa"/>
            <w:left w:w="108" w:type="dxa"/>
            <w:bottom w:w="0" w:type="dxa"/>
            <w:right w:w="108" w:type="dxa"/>
          </w:tblCellMar>
        </w:tblPrEx>
        <w:trPr>
          <w:trHeight w:val="300" w:hRule="atLeast"/>
        </w:trPr>
        <w:tc>
          <w:tcPr>
            <w:tcW w:w="4679"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pPr>
            <w:r>
              <w:rPr>
                <w:rFonts w:hint="eastAsia"/>
              </w:rPr>
              <w:t>田间净灌溉定额（m</w:t>
            </w:r>
            <w:r>
              <w:rPr>
                <w:rFonts w:ascii="Calibri" w:hAnsi="Calibri" w:cs="Calibri"/>
              </w:rPr>
              <w:t>³</w:t>
            </w:r>
            <w:r>
              <w:rPr>
                <w:rFonts w:hint="eastAsia"/>
              </w:rPr>
              <w:t>/亩）</w:t>
            </w:r>
          </w:p>
        </w:tc>
        <w:tc>
          <w:tcPr>
            <w:tcW w:w="127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4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546" w:type="dxa"/>
            <w:tcBorders>
              <w:top w:val="nil"/>
              <w:left w:val="nil"/>
              <w:bottom w:val="single" w:color="auto" w:sz="4" w:space="0"/>
              <w:right w:val="single" w:color="auto" w:sz="4" w:space="0"/>
            </w:tcBorders>
            <w:shd w:val="clear" w:color="auto" w:fill="auto"/>
            <w:noWrap/>
            <w:vAlign w:val="center"/>
          </w:tcPr>
          <w:p>
            <w:pPr>
              <w:pStyle w:val="23"/>
              <w:rPr>
                <w:sz w:val="22"/>
              </w:rPr>
            </w:pPr>
            <w:r>
              <w:rPr>
                <w:rFonts w:hint="eastAsia"/>
                <w:sz w:val="22"/>
              </w:rPr>
              <w:t>　</w:t>
            </w:r>
          </w:p>
        </w:tc>
        <w:tc>
          <w:tcPr>
            <w:tcW w:w="844" w:type="dxa"/>
            <w:tcBorders>
              <w:top w:val="nil"/>
              <w:left w:val="nil"/>
              <w:bottom w:val="single" w:color="auto" w:sz="4" w:space="0"/>
              <w:right w:val="single" w:color="auto" w:sz="4" w:space="0"/>
            </w:tcBorders>
            <w:shd w:val="clear" w:color="auto" w:fill="auto"/>
            <w:noWrap/>
            <w:vAlign w:val="center"/>
          </w:tcPr>
          <w:p>
            <w:pPr>
              <w:pStyle w:val="23"/>
              <w:rPr>
                <w:sz w:val="22"/>
              </w:rPr>
            </w:pPr>
            <w:r>
              <w:rPr>
                <w:rFonts w:hint="eastAsia"/>
                <w:sz w:val="22"/>
              </w:rPr>
              <w:t>　</w:t>
            </w:r>
          </w:p>
        </w:tc>
        <w:tc>
          <w:tcPr>
            <w:tcW w:w="112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636.10</w:t>
            </w:r>
          </w:p>
        </w:tc>
      </w:tr>
      <w:tr>
        <w:tblPrEx>
          <w:tblCellMar>
            <w:top w:w="0" w:type="dxa"/>
            <w:left w:w="108" w:type="dxa"/>
            <w:bottom w:w="0" w:type="dxa"/>
            <w:right w:w="108" w:type="dxa"/>
          </w:tblCellMar>
        </w:tblPrEx>
        <w:trPr>
          <w:trHeight w:val="285" w:hRule="atLeast"/>
        </w:trPr>
        <w:tc>
          <w:tcPr>
            <w:tcW w:w="4679"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rPr>
                <w:sz w:val="22"/>
              </w:rPr>
            </w:pPr>
            <w:r>
              <w:rPr>
                <w:rFonts w:hint="eastAsia"/>
                <w:sz w:val="22"/>
              </w:rPr>
              <w:t>灌区灌溉水有效利用系</w:t>
            </w:r>
          </w:p>
        </w:tc>
        <w:tc>
          <w:tcPr>
            <w:tcW w:w="127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74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54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84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112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0.5698</w:t>
            </w:r>
          </w:p>
        </w:tc>
      </w:tr>
      <w:tr>
        <w:tblPrEx>
          <w:tblCellMar>
            <w:top w:w="0" w:type="dxa"/>
            <w:left w:w="108" w:type="dxa"/>
            <w:bottom w:w="0" w:type="dxa"/>
            <w:right w:w="108" w:type="dxa"/>
          </w:tblCellMar>
        </w:tblPrEx>
        <w:trPr>
          <w:trHeight w:val="285" w:hRule="atLeast"/>
        </w:trPr>
        <w:tc>
          <w:tcPr>
            <w:tcW w:w="4679"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rPr>
                <w:sz w:val="22"/>
              </w:rPr>
            </w:pPr>
            <w:r>
              <w:rPr>
                <w:rFonts w:hint="eastAsia"/>
                <w:sz w:val="22"/>
              </w:rPr>
              <w:t>常规灌溉毛灌溉定额（m</w:t>
            </w:r>
            <w:r>
              <w:rPr>
                <w:rFonts w:ascii="Calibri" w:hAnsi="Calibri" w:cs="Calibri"/>
                <w:sz w:val="22"/>
              </w:rPr>
              <w:t>³</w:t>
            </w:r>
            <w:r>
              <w:rPr>
                <w:rFonts w:hint="eastAsia"/>
                <w:sz w:val="22"/>
              </w:rPr>
              <w:t>/亩）</w:t>
            </w:r>
          </w:p>
        </w:tc>
        <w:tc>
          <w:tcPr>
            <w:tcW w:w="127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74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546"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84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1124"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1116.36</w:t>
            </w:r>
          </w:p>
        </w:tc>
      </w:tr>
    </w:tbl>
    <w:p>
      <w:pPr>
        <w:pStyle w:val="4"/>
      </w:pPr>
      <w:bookmarkStart w:id="52" w:name="_Toc164082428"/>
      <w:r>
        <w:t>5.2.2</w:t>
      </w:r>
      <w:r>
        <w:rPr>
          <w:rFonts w:hint="eastAsia"/>
        </w:rPr>
        <w:t xml:space="preserve"> 高效节水灌溉用水定额的制定</w:t>
      </w:r>
      <w:bookmarkEnd w:id="52"/>
      <w:bookmarkStart w:id="54" w:name="_GoBack"/>
      <w:bookmarkEnd w:id="54"/>
    </w:p>
    <w:p>
      <w:pPr>
        <w:ind w:firstLine="560"/>
      </w:pPr>
      <w:r>
        <w:rPr>
          <w:rFonts w:hint="eastAsia"/>
        </w:rPr>
        <w:t>和田地区洛浦县灌区</w:t>
      </w:r>
      <w:bookmarkStart w:id="53" w:name="_Hlk164110618"/>
      <w:r>
        <w:rPr>
          <w:rFonts w:hint="eastAsia"/>
        </w:rPr>
        <w:t>管道输水率</w:t>
      </w:r>
      <w:bookmarkEnd w:id="53"/>
      <w:r>
        <w:rPr>
          <w:rFonts w:hint="eastAsia"/>
        </w:rPr>
        <w:t>为0.96。</w:t>
      </w:r>
    </w:p>
    <w:p>
      <w:pPr>
        <w:ind w:firstLine="560"/>
      </w:pPr>
      <w:r>
        <w:rPr>
          <w:rFonts w:hint="eastAsia"/>
        </w:rPr>
        <w:t>洛浦县2024年综合田间毛灌溉定额（m</w:t>
      </w:r>
      <w:r>
        <w:rPr>
          <w:rFonts w:ascii="Calibri" w:hAnsi="Calibri" w:cs="Calibri"/>
        </w:rPr>
        <w:t>³</w:t>
      </w:r>
      <w:r>
        <w:rPr>
          <w:rFonts w:hint="eastAsia"/>
        </w:rPr>
        <w:t>/亩）=综合田间净灌溉定额（m</w:t>
      </w:r>
      <w:r>
        <w:rPr>
          <w:rFonts w:ascii="Calibri" w:hAnsi="Calibri" w:cs="Calibri"/>
        </w:rPr>
        <w:t>³</w:t>
      </w:r>
      <w:r>
        <w:rPr>
          <w:rFonts w:hint="eastAsia"/>
        </w:rPr>
        <w:t>/亩）÷管道输水率=590.58（m</w:t>
      </w:r>
      <w:r>
        <w:rPr>
          <w:rFonts w:ascii="Calibri" w:hAnsi="Calibri" w:cs="Calibri"/>
        </w:rPr>
        <w:t>³</w:t>
      </w:r>
      <w:r>
        <w:rPr>
          <w:rFonts w:hint="eastAsia"/>
        </w:rPr>
        <w:t>/亩）÷0.96=621.66（m</w:t>
      </w:r>
      <w:r>
        <w:rPr>
          <w:rFonts w:ascii="Calibri" w:hAnsi="Calibri" w:cs="Calibri"/>
        </w:rPr>
        <w:t>³</w:t>
      </w:r>
      <w:r>
        <w:rPr>
          <w:rFonts w:hint="eastAsia"/>
        </w:rPr>
        <w:t>/亩）。计算详见表5.2。</w:t>
      </w:r>
    </w:p>
    <w:p>
      <w:pPr>
        <w:widowControl/>
        <w:spacing w:after="160" w:line="278" w:lineRule="auto"/>
        <w:ind w:firstLine="0" w:firstLineChars="0"/>
      </w:pPr>
      <w:r>
        <w:br w:type="page"/>
      </w:r>
    </w:p>
    <w:p>
      <w:pPr>
        <w:pStyle w:val="22"/>
      </w:pPr>
      <w:r>
        <w:rPr>
          <w:rFonts w:hint="eastAsia"/>
        </w:rPr>
        <w:t>表5.2 洛浦县2024年高效节水综合田间毛灌溉定额计算表</w:t>
      </w:r>
    </w:p>
    <w:tbl>
      <w:tblPr>
        <w:tblStyle w:val="13"/>
        <w:tblW w:w="8938" w:type="dxa"/>
        <w:tblInd w:w="-289" w:type="dxa"/>
        <w:tblLayout w:type="autofit"/>
        <w:tblCellMar>
          <w:top w:w="0" w:type="dxa"/>
          <w:left w:w="108" w:type="dxa"/>
          <w:bottom w:w="0" w:type="dxa"/>
          <w:right w:w="108" w:type="dxa"/>
        </w:tblCellMar>
      </w:tblPr>
      <w:tblGrid>
        <w:gridCol w:w="702"/>
        <w:gridCol w:w="700"/>
        <w:gridCol w:w="1065"/>
        <w:gridCol w:w="756"/>
        <w:gridCol w:w="1203"/>
        <w:gridCol w:w="1340"/>
        <w:gridCol w:w="673"/>
        <w:gridCol w:w="699"/>
        <w:gridCol w:w="840"/>
        <w:gridCol w:w="960"/>
      </w:tblGrid>
      <w:tr>
        <w:tblPrEx>
          <w:tblCellMar>
            <w:top w:w="0" w:type="dxa"/>
            <w:left w:w="108" w:type="dxa"/>
            <w:bottom w:w="0" w:type="dxa"/>
            <w:right w:w="108" w:type="dxa"/>
          </w:tblCellMar>
        </w:tblPrEx>
        <w:trPr>
          <w:trHeight w:val="285" w:hRule="atLeast"/>
        </w:trPr>
        <w:tc>
          <w:tcPr>
            <w:tcW w:w="702" w:type="dxa"/>
            <w:vMerge w:val="restart"/>
            <w:tcBorders>
              <w:top w:val="single" w:color="auto" w:sz="4" w:space="0"/>
              <w:left w:val="single" w:color="auto" w:sz="4" w:space="0"/>
              <w:right w:val="single" w:color="auto" w:sz="4" w:space="0"/>
            </w:tcBorders>
            <w:shd w:val="clear" w:color="000000" w:fill="FFFFFF"/>
            <w:noWrap/>
            <w:vAlign w:val="center"/>
          </w:tcPr>
          <w:p>
            <w:pPr>
              <w:pStyle w:val="23"/>
            </w:pPr>
            <w:r>
              <w:rPr>
                <w:rFonts w:hint="eastAsia"/>
              </w:rPr>
              <w:t>作物种类</w:t>
            </w:r>
          </w:p>
        </w:tc>
        <w:tc>
          <w:tcPr>
            <w:tcW w:w="700"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灌水方法</w:t>
            </w:r>
          </w:p>
        </w:tc>
        <w:tc>
          <w:tcPr>
            <w:tcW w:w="1065"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生长期</w:t>
            </w:r>
          </w:p>
        </w:tc>
        <w:tc>
          <w:tcPr>
            <w:tcW w:w="75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pStyle w:val="23"/>
            </w:pPr>
            <w:r>
              <w:rPr>
                <w:rFonts w:hint="eastAsia"/>
              </w:rPr>
              <w:t>灌水次数</w:t>
            </w:r>
          </w:p>
        </w:tc>
        <w:tc>
          <w:tcPr>
            <w:tcW w:w="2543" w:type="dxa"/>
            <w:gridSpan w:val="2"/>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pPr>
            <w:r>
              <w:rPr>
                <w:rFonts w:hint="eastAsia"/>
              </w:rPr>
              <w:t>灌水延续时间</w:t>
            </w:r>
          </w:p>
        </w:tc>
        <w:tc>
          <w:tcPr>
            <w:tcW w:w="1372" w:type="dxa"/>
            <w:gridSpan w:val="2"/>
            <w:tcBorders>
              <w:top w:val="single" w:color="auto" w:sz="4" w:space="0"/>
              <w:left w:val="nil"/>
              <w:bottom w:val="single" w:color="auto" w:sz="4" w:space="0"/>
              <w:right w:val="single" w:color="auto" w:sz="4" w:space="0"/>
            </w:tcBorders>
            <w:shd w:val="clear" w:color="000000" w:fill="FFFFFF"/>
            <w:vAlign w:val="center"/>
          </w:tcPr>
          <w:p>
            <w:pPr>
              <w:pStyle w:val="23"/>
            </w:pPr>
            <w:r>
              <w:rPr>
                <w:rFonts w:hint="eastAsia"/>
              </w:rPr>
              <w:t>灌水定额m</w:t>
            </w:r>
            <w:r>
              <w:rPr>
                <w:rFonts w:ascii="Calibri" w:hAnsi="Calibri" w:cs="Calibri"/>
              </w:rPr>
              <w:t>³</w:t>
            </w:r>
            <w:r>
              <w:rPr>
                <w:rFonts w:hint="eastAsia"/>
              </w:rPr>
              <w:t>/亩)</w:t>
            </w:r>
          </w:p>
        </w:tc>
        <w:tc>
          <w:tcPr>
            <w:tcW w:w="84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灌溉面积</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pStyle w:val="23"/>
            </w:pPr>
            <w:r>
              <w:rPr>
                <w:rFonts w:hint="eastAsia"/>
              </w:rPr>
              <w:t>用水量</w:t>
            </w:r>
          </w:p>
        </w:tc>
      </w:tr>
      <w:tr>
        <w:tblPrEx>
          <w:tblCellMar>
            <w:top w:w="0" w:type="dxa"/>
            <w:left w:w="108" w:type="dxa"/>
            <w:bottom w:w="0" w:type="dxa"/>
            <w:right w:w="108" w:type="dxa"/>
          </w:tblCellMar>
        </w:tblPrEx>
        <w:trPr>
          <w:trHeight w:val="285" w:hRule="atLeast"/>
        </w:trPr>
        <w:tc>
          <w:tcPr>
            <w:tcW w:w="702" w:type="dxa"/>
            <w:vMerge w:val="continue"/>
            <w:tcBorders>
              <w:left w:val="single" w:color="auto" w:sz="4" w:space="0"/>
              <w:bottom w:val="single" w:color="auto" w:sz="4" w:space="0"/>
              <w:right w:val="single" w:color="auto" w:sz="4" w:space="0"/>
            </w:tcBorders>
            <w:shd w:val="clear" w:color="000000" w:fill="FFFFFF"/>
            <w:noWrap/>
            <w:vAlign w:val="center"/>
          </w:tcPr>
          <w:p>
            <w:pPr>
              <w:pStyle w:val="23"/>
            </w:pPr>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1065"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254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3"/>
            </w:pPr>
          </w:p>
        </w:tc>
        <w:tc>
          <w:tcPr>
            <w:tcW w:w="673" w:type="dxa"/>
            <w:tcBorders>
              <w:top w:val="nil"/>
              <w:left w:val="nil"/>
              <w:bottom w:val="single" w:color="auto" w:sz="4" w:space="0"/>
              <w:right w:val="single" w:color="auto" w:sz="4" w:space="0"/>
            </w:tcBorders>
            <w:shd w:val="clear" w:color="000000" w:fill="FFFFFF"/>
            <w:vAlign w:val="center"/>
          </w:tcPr>
          <w:p>
            <w:pPr>
              <w:pStyle w:val="23"/>
            </w:pPr>
            <w:r>
              <w:rPr>
                <w:rFonts w:hint="eastAsia"/>
              </w:rPr>
              <w:t>分次</w:t>
            </w:r>
          </w:p>
        </w:tc>
        <w:tc>
          <w:tcPr>
            <w:tcW w:w="699" w:type="dxa"/>
            <w:tcBorders>
              <w:top w:val="nil"/>
              <w:left w:val="nil"/>
              <w:bottom w:val="single" w:color="auto" w:sz="4" w:space="0"/>
              <w:right w:val="nil"/>
            </w:tcBorders>
            <w:shd w:val="clear" w:color="000000" w:fill="FFFFFF"/>
            <w:noWrap/>
            <w:vAlign w:val="center"/>
          </w:tcPr>
          <w:p>
            <w:pPr>
              <w:pStyle w:val="23"/>
              <w:rPr>
                <w:sz w:val="22"/>
              </w:rPr>
            </w:pPr>
            <w:r>
              <w:rPr>
                <w:rFonts w:hint="eastAsia"/>
                <w:sz w:val="22"/>
              </w:rPr>
              <w:t>合计</w:t>
            </w:r>
          </w:p>
        </w:tc>
        <w:tc>
          <w:tcPr>
            <w:tcW w:w="840" w:type="dxa"/>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万亩</w:t>
            </w:r>
          </w:p>
        </w:tc>
        <w:tc>
          <w:tcPr>
            <w:tcW w:w="960" w:type="dxa"/>
            <w:tcBorders>
              <w:top w:val="nil"/>
              <w:left w:val="nil"/>
              <w:bottom w:val="single" w:color="auto" w:sz="4" w:space="0"/>
              <w:right w:val="single" w:color="auto" w:sz="4" w:space="0"/>
            </w:tcBorders>
            <w:shd w:val="clear" w:color="auto" w:fill="auto"/>
            <w:noWrap/>
            <w:vAlign w:val="center"/>
          </w:tcPr>
          <w:p>
            <w:pPr>
              <w:pStyle w:val="23"/>
            </w:pPr>
            <w:r>
              <w:rPr>
                <w:rFonts w:hint="eastAsia"/>
              </w:rPr>
              <w:t>万m</w:t>
            </w:r>
            <w:r>
              <w:rPr>
                <w:rFonts w:ascii="Calibri" w:hAnsi="Calibri" w:cs="Calibri"/>
              </w:rPr>
              <w:t>³</w:t>
            </w:r>
          </w:p>
        </w:tc>
      </w:tr>
      <w:tr>
        <w:tblPrEx>
          <w:tblCellMar>
            <w:top w:w="0" w:type="dxa"/>
            <w:left w:w="108" w:type="dxa"/>
            <w:bottom w:w="0" w:type="dxa"/>
            <w:right w:w="108" w:type="dxa"/>
          </w:tblCellMar>
        </w:tblPrEx>
        <w:trPr>
          <w:trHeight w:val="285" w:hRule="atLeast"/>
        </w:trPr>
        <w:tc>
          <w:tcPr>
            <w:tcW w:w="702"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冬小麦</w:t>
            </w:r>
          </w:p>
        </w:tc>
        <w:tc>
          <w:tcPr>
            <w:tcW w:w="70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微灌</w:t>
            </w: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9月15日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10月1日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58</w:t>
            </w:r>
          </w:p>
        </w:tc>
        <w:tc>
          <w:tcPr>
            <w:tcW w:w="69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325</w:t>
            </w:r>
          </w:p>
        </w:tc>
        <w:tc>
          <w:tcPr>
            <w:tcW w:w="84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1.50</w:t>
            </w:r>
          </w:p>
        </w:tc>
        <w:tc>
          <w:tcPr>
            <w:tcW w:w="960"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487.5</w:t>
            </w: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冬灌</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11月30日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35</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返青</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2月25日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3月27日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58</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拨节</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3月28日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4月19日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58</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抽穗</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4月20日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5月8日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58</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灌浆</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5月9日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5月31日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58</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正播玉米</w:t>
            </w:r>
          </w:p>
        </w:tc>
        <w:tc>
          <w:tcPr>
            <w:tcW w:w="70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微灌</w:t>
            </w: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3月25日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4月5日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9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295</w:t>
            </w:r>
          </w:p>
        </w:tc>
        <w:tc>
          <w:tcPr>
            <w:tcW w:w="84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2.00</w:t>
            </w:r>
          </w:p>
        </w:tc>
        <w:tc>
          <w:tcPr>
            <w:tcW w:w="960"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590</w:t>
            </w: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三叶</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4月20日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拨节</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5月5日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5月15日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抽穗</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5月20日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5月31日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灌浆</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6月10日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6月25日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棉花</w:t>
            </w:r>
          </w:p>
        </w:tc>
        <w:tc>
          <w:tcPr>
            <w:tcW w:w="70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微灌</w:t>
            </w: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12月2日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1月15日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90</w:t>
            </w:r>
          </w:p>
        </w:tc>
        <w:tc>
          <w:tcPr>
            <w:tcW w:w="69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310</w:t>
            </w:r>
          </w:p>
        </w:tc>
        <w:tc>
          <w:tcPr>
            <w:tcW w:w="84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1.00</w:t>
            </w:r>
          </w:p>
        </w:tc>
        <w:tc>
          <w:tcPr>
            <w:tcW w:w="960"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310</w:t>
            </w: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现蕾</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5月25日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开花</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结铃</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7月10日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吐絮</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8月10日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正播瓜菜</w:t>
            </w:r>
          </w:p>
        </w:tc>
        <w:tc>
          <w:tcPr>
            <w:tcW w:w="70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微灌</w:t>
            </w: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9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370</w:t>
            </w:r>
          </w:p>
        </w:tc>
        <w:tc>
          <w:tcPr>
            <w:tcW w:w="84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0.10</w:t>
            </w:r>
          </w:p>
        </w:tc>
        <w:tc>
          <w:tcPr>
            <w:tcW w:w="960"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37</w:t>
            </w: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苗期</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5月30日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花期</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6月30日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结果</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7月15日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复播瓜菜</w:t>
            </w:r>
          </w:p>
        </w:tc>
        <w:tc>
          <w:tcPr>
            <w:tcW w:w="70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pPr>
            <w:r>
              <w:rPr>
                <w:rFonts w:hint="eastAsia"/>
              </w:rPr>
              <w:t>微灌</w:t>
            </w: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播前水</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7月16日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7月30日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99" w:type="dxa"/>
            <w:vMerge w:val="restart"/>
            <w:tcBorders>
              <w:top w:val="nil"/>
              <w:left w:val="single" w:color="auto" w:sz="4" w:space="0"/>
              <w:bottom w:val="single" w:color="auto" w:sz="4" w:space="0"/>
              <w:right w:val="nil"/>
            </w:tcBorders>
            <w:shd w:val="clear" w:color="000000" w:fill="FFFFFF"/>
            <w:noWrap/>
            <w:vAlign w:val="center"/>
          </w:tcPr>
          <w:p>
            <w:pPr>
              <w:pStyle w:val="23"/>
              <w:rPr>
                <w:sz w:val="22"/>
              </w:rPr>
            </w:pPr>
            <w:r>
              <w:rPr>
                <w:rFonts w:hint="eastAsia"/>
                <w:sz w:val="22"/>
              </w:rPr>
              <w:t>370</w:t>
            </w:r>
          </w:p>
        </w:tc>
        <w:tc>
          <w:tcPr>
            <w:tcW w:w="840" w:type="dxa"/>
            <w:vMerge w:val="restart"/>
            <w:tcBorders>
              <w:top w:val="nil"/>
              <w:left w:val="single" w:color="auto" w:sz="4" w:space="0"/>
              <w:bottom w:val="single" w:color="auto" w:sz="4" w:space="0"/>
              <w:right w:val="single" w:color="auto" w:sz="4" w:space="0"/>
            </w:tcBorders>
            <w:shd w:val="clear" w:color="000000" w:fill="FFFFFF"/>
            <w:noWrap/>
            <w:vAlign w:val="center"/>
          </w:tcPr>
          <w:p>
            <w:pPr>
              <w:pStyle w:val="23"/>
              <w:rPr>
                <w:sz w:val="22"/>
              </w:rPr>
            </w:pPr>
            <w:r>
              <w:rPr>
                <w:rFonts w:hint="eastAsia"/>
                <w:sz w:val="22"/>
              </w:rPr>
              <w:t>0.30</w:t>
            </w:r>
          </w:p>
        </w:tc>
        <w:tc>
          <w:tcPr>
            <w:tcW w:w="960"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111</w:t>
            </w: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苗期</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2</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8月25日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130</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花期</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3</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9月20日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285" w:hRule="atLeast"/>
        </w:trPr>
        <w:tc>
          <w:tcPr>
            <w:tcW w:w="702" w:type="dxa"/>
            <w:vMerge w:val="continue"/>
            <w:tcBorders>
              <w:top w:val="nil"/>
              <w:left w:val="single" w:color="auto" w:sz="4" w:space="0"/>
              <w:bottom w:val="single" w:color="auto" w:sz="4" w:space="0"/>
              <w:right w:val="single" w:color="auto" w:sz="4" w:space="0"/>
            </w:tcBorders>
            <w:vAlign w:val="center"/>
          </w:tcPr>
          <w:p>
            <w:pPr>
              <w:pStyle w:val="23"/>
            </w:pPr>
          </w:p>
        </w:tc>
        <w:tc>
          <w:tcPr>
            <w:tcW w:w="700" w:type="dxa"/>
            <w:vMerge w:val="continue"/>
            <w:tcBorders>
              <w:top w:val="nil"/>
              <w:left w:val="single" w:color="auto" w:sz="4" w:space="0"/>
              <w:bottom w:val="single" w:color="auto" w:sz="4" w:space="0"/>
              <w:right w:val="single" w:color="auto" w:sz="4" w:space="0"/>
            </w:tcBorders>
            <w:vAlign w:val="center"/>
          </w:tcPr>
          <w:p>
            <w:pPr>
              <w:pStyle w:val="23"/>
            </w:pPr>
          </w:p>
        </w:tc>
        <w:tc>
          <w:tcPr>
            <w:tcW w:w="1065"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结果</w:t>
            </w:r>
          </w:p>
        </w:tc>
        <w:tc>
          <w:tcPr>
            <w:tcW w:w="756"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4</w:t>
            </w:r>
          </w:p>
        </w:tc>
        <w:tc>
          <w:tcPr>
            <w:tcW w:w="120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10月1日</w:t>
            </w:r>
          </w:p>
        </w:tc>
        <w:tc>
          <w:tcPr>
            <w:tcW w:w="1340"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10月31日</w:t>
            </w:r>
          </w:p>
        </w:tc>
        <w:tc>
          <w:tcPr>
            <w:tcW w:w="673" w:type="dxa"/>
            <w:tcBorders>
              <w:top w:val="nil"/>
              <w:left w:val="nil"/>
              <w:bottom w:val="single" w:color="auto" w:sz="4" w:space="0"/>
              <w:right w:val="single" w:color="auto" w:sz="4" w:space="0"/>
            </w:tcBorders>
            <w:shd w:val="clear" w:color="000000" w:fill="FFFFFF"/>
            <w:noWrap/>
            <w:vAlign w:val="center"/>
          </w:tcPr>
          <w:p>
            <w:pPr>
              <w:pStyle w:val="23"/>
            </w:pPr>
            <w:r>
              <w:rPr>
                <w:rFonts w:hint="eastAsia"/>
              </w:rPr>
              <w:t>135</w:t>
            </w:r>
          </w:p>
        </w:tc>
        <w:tc>
          <w:tcPr>
            <w:tcW w:w="699" w:type="dxa"/>
            <w:vMerge w:val="continue"/>
            <w:tcBorders>
              <w:top w:val="nil"/>
              <w:left w:val="single" w:color="auto" w:sz="4" w:space="0"/>
              <w:bottom w:val="single" w:color="auto" w:sz="4" w:space="0"/>
              <w:right w:val="nil"/>
            </w:tcBorders>
            <w:vAlign w:val="center"/>
          </w:tcPr>
          <w:p>
            <w:pPr>
              <w:pStyle w:val="23"/>
              <w:rPr>
                <w:sz w:val="22"/>
              </w:rPr>
            </w:pPr>
          </w:p>
        </w:tc>
        <w:tc>
          <w:tcPr>
            <w:tcW w:w="840" w:type="dxa"/>
            <w:vMerge w:val="continue"/>
            <w:tcBorders>
              <w:top w:val="nil"/>
              <w:left w:val="single" w:color="auto" w:sz="4" w:space="0"/>
              <w:bottom w:val="single" w:color="auto" w:sz="4" w:space="0"/>
              <w:right w:val="single" w:color="auto" w:sz="4" w:space="0"/>
            </w:tcBorders>
            <w:vAlign w:val="center"/>
          </w:tcPr>
          <w:p>
            <w:pPr>
              <w:pStyle w:val="23"/>
              <w:rPr>
                <w:sz w:val="22"/>
              </w:rPr>
            </w:pPr>
          </w:p>
        </w:tc>
        <w:tc>
          <w:tcPr>
            <w:tcW w:w="960" w:type="dxa"/>
            <w:vMerge w:val="continue"/>
            <w:tcBorders>
              <w:top w:val="nil"/>
              <w:left w:val="single" w:color="auto" w:sz="4" w:space="0"/>
              <w:bottom w:val="single" w:color="auto" w:sz="4" w:space="0"/>
              <w:right w:val="single" w:color="auto" w:sz="4" w:space="0"/>
            </w:tcBorders>
            <w:vAlign w:val="center"/>
          </w:tcPr>
          <w:p>
            <w:pPr>
              <w:pStyle w:val="23"/>
              <w:rPr>
                <w:rFonts w:ascii="等线" w:hAnsi="等线" w:eastAsia="等线"/>
                <w:sz w:val="22"/>
              </w:rPr>
            </w:pPr>
          </w:p>
        </w:tc>
      </w:tr>
      <w:tr>
        <w:tblPrEx>
          <w:tblCellMar>
            <w:top w:w="0" w:type="dxa"/>
            <w:left w:w="108" w:type="dxa"/>
            <w:bottom w:w="0" w:type="dxa"/>
            <w:right w:w="108" w:type="dxa"/>
          </w:tblCellMar>
        </w:tblPrEx>
        <w:trPr>
          <w:trHeight w:val="300" w:hRule="atLeast"/>
        </w:trPr>
        <w:tc>
          <w:tcPr>
            <w:tcW w:w="702" w:type="dxa"/>
            <w:tcBorders>
              <w:top w:val="nil"/>
              <w:left w:val="single" w:color="auto" w:sz="4" w:space="0"/>
              <w:bottom w:val="single" w:color="auto" w:sz="4" w:space="0"/>
              <w:right w:val="single" w:color="auto" w:sz="4" w:space="0"/>
            </w:tcBorders>
            <w:shd w:val="clear" w:color="auto" w:fill="auto"/>
            <w:noWrap/>
            <w:vAlign w:val="center"/>
          </w:tcPr>
          <w:p>
            <w:pPr>
              <w:pStyle w:val="23"/>
            </w:pPr>
            <w:r>
              <w:rPr>
                <w:rFonts w:hint="eastAsia"/>
              </w:rPr>
              <w:t>合计</w:t>
            </w:r>
          </w:p>
        </w:tc>
        <w:tc>
          <w:tcPr>
            <w:tcW w:w="70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1065"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756"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120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13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7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99"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　</w:t>
            </w:r>
          </w:p>
        </w:tc>
        <w:tc>
          <w:tcPr>
            <w:tcW w:w="840"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4.90</w:t>
            </w:r>
          </w:p>
        </w:tc>
        <w:tc>
          <w:tcPr>
            <w:tcW w:w="960" w:type="dxa"/>
            <w:tcBorders>
              <w:top w:val="nil"/>
              <w:left w:val="nil"/>
              <w:bottom w:val="single" w:color="auto" w:sz="4" w:space="0"/>
              <w:right w:val="single" w:color="auto" w:sz="4" w:space="0"/>
            </w:tcBorders>
            <w:shd w:val="clear" w:color="auto" w:fill="auto"/>
            <w:noWrap/>
            <w:vAlign w:val="center"/>
          </w:tcPr>
          <w:p>
            <w:pPr>
              <w:pStyle w:val="23"/>
              <w:rPr>
                <w:rFonts w:ascii="等线" w:hAnsi="等线" w:eastAsia="等线"/>
                <w:sz w:val="22"/>
              </w:rPr>
            </w:pPr>
            <w:r>
              <w:rPr>
                <w:rFonts w:hint="eastAsia" w:ascii="等线" w:hAnsi="等线" w:eastAsia="等线"/>
                <w:sz w:val="22"/>
              </w:rPr>
              <w:t>1535.50</w:t>
            </w:r>
          </w:p>
        </w:tc>
      </w:tr>
      <w:tr>
        <w:tblPrEx>
          <w:tblCellMar>
            <w:top w:w="0" w:type="dxa"/>
            <w:left w:w="108" w:type="dxa"/>
            <w:bottom w:w="0" w:type="dxa"/>
            <w:right w:w="108" w:type="dxa"/>
          </w:tblCellMar>
        </w:tblPrEx>
        <w:trPr>
          <w:trHeight w:val="300" w:hRule="atLeast"/>
        </w:trPr>
        <w:tc>
          <w:tcPr>
            <w:tcW w:w="442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pPr>
            <w:r>
              <w:rPr>
                <w:rFonts w:hint="eastAsia"/>
              </w:rPr>
              <w:t>灌溉面积（万亩）</w:t>
            </w:r>
          </w:p>
        </w:tc>
        <w:tc>
          <w:tcPr>
            <w:tcW w:w="13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7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99"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8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960" w:type="dxa"/>
            <w:tcBorders>
              <w:top w:val="nil"/>
              <w:left w:val="nil"/>
              <w:bottom w:val="single" w:color="auto" w:sz="4" w:space="0"/>
              <w:right w:val="single" w:color="auto" w:sz="4" w:space="0"/>
            </w:tcBorders>
            <w:shd w:val="clear" w:color="auto" w:fill="auto"/>
            <w:noWrap/>
            <w:vAlign w:val="center"/>
          </w:tcPr>
          <w:p>
            <w:pPr>
              <w:pStyle w:val="23"/>
            </w:pPr>
            <w:r>
              <w:rPr>
                <w:rFonts w:hint="eastAsia"/>
              </w:rPr>
              <w:t>2.60</w:t>
            </w:r>
          </w:p>
        </w:tc>
      </w:tr>
      <w:tr>
        <w:tblPrEx>
          <w:tblCellMar>
            <w:top w:w="0" w:type="dxa"/>
            <w:left w:w="108" w:type="dxa"/>
            <w:bottom w:w="0" w:type="dxa"/>
            <w:right w:w="108" w:type="dxa"/>
          </w:tblCellMar>
        </w:tblPrEx>
        <w:trPr>
          <w:trHeight w:val="300" w:hRule="atLeast"/>
        </w:trPr>
        <w:tc>
          <w:tcPr>
            <w:tcW w:w="442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pPr>
            <w:r>
              <w:rPr>
                <w:rFonts w:hint="eastAsia"/>
              </w:rPr>
              <w:t>综合田间灌溉定额（m</w:t>
            </w:r>
            <w:r>
              <w:t>³</w:t>
            </w:r>
            <w:r>
              <w:rPr>
                <w:rFonts w:hint="eastAsia"/>
              </w:rPr>
              <w:t>/亩）</w:t>
            </w:r>
          </w:p>
        </w:tc>
        <w:tc>
          <w:tcPr>
            <w:tcW w:w="13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7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99"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8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960" w:type="dxa"/>
            <w:tcBorders>
              <w:top w:val="nil"/>
              <w:left w:val="nil"/>
              <w:bottom w:val="single" w:color="auto" w:sz="4" w:space="0"/>
              <w:right w:val="single" w:color="auto" w:sz="4" w:space="0"/>
            </w:tcBorders>
            <w:shd w:val="clear" w:color="auto" w:fill="auto"/>
            <w:noWrap/>
            <w:vAlign w:val="center"/>
          </w:tcPr>
          <w:p>
            <w:pPr>
              <w:pStyle w:val="23"/>
            </w:pPr>
            <w:r>
              <w:rPr>
                <w:rFonts w:hint="eastAsia"/>
              </w:rPr>
              <w:t>590.58</w:t>
            </w:r>
          </w:p>
        </w:tc>
      </w:tr>
      <w:tr>
        <w:tblPrEx>
          <w:tblCellMar>
            <w:top w:w="0" w:type="dxa"/>
            <w:left w:w="108" w:type="dxa"/>
            <w:bottom w:w="0" w:type="dxa"/>
            <w:right w:w="108" w:type="dxa"/>
          </w:tblCellMar>
        </w:tblPrEx>
        <w:trPr>
          <w:trHeight w:val="285" w:hRule="atLeast"/>
        </w:trPr>
        <w:tc>
          <w:tcPr>
            <w:tcW w:w="442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pPr>
            <w:r>
              <w:rPr>
                <w:rFonts w:hint="eastAsia"/>
              </w:rPr>
              <w:t>管道输水率</w:t>
            </w:r>
          </w:p>
        </w:tc>
        <w:tc>
          <w:tcPr>
            <w:tcW w:w="13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7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99"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8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960" w:type="dxa"/>
            <w:tcBorders>
              <w:top w:val="nil"/>
              <w:left w:val="nil"/>
              <w:bottom w:val="single" w:color="auto" w:sz="4" w:space="0"/>
              <w:right w:val="single" w:color="auto" w:sz="4" w:space="0"/>
            </w:tcBorders>
            <w:shd w:val="clear" w:color="auto" w:fill="auto"/>
            <w:noWrap/>
            <w:vAlign w:val="center"/>
          </w:tcPr>
          <w:p>
            <w:pPr>
              <w:pStyle w:val="23"/>
            </w:pPr>
            <w:r>
              <w:rPr>
                <w:rFonts w:hint="eastAsia"/>
              </w:rPr>
              <w:t>0.95</w:t>
            </w:r>
          </w:p>
        </w:tc>
      </w:tr>
      <w:tr>
        <w:tblPrEx>
          <w:tblCellMar>
            <w:top w:w="0" w:type="dxa"/>
            <w:left w:w="108" w:type="dxa"/>
            <w:bottom w:w="0" w:type="dxa"/>
            <w:right w:w="108" w:type="dxa"/>
          </w:tblCellMar>
        </w:tblPrEx>
        <w:trPr>
          <w:trHeight w:val="285" w:hRule="atLeast"/>
        </w:trPr>
        <w:tc>
          <w:tcPr>
            <w:tcW w:w="442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23"/>
            </w:pPr>
            <w:r>
              <w:rPr>
                <w:rFonts w:hint="eastAsia"/>
              </w:rPr>
              <w:t>高效节水综合灌溉定额（m</w:t>
            </w:r>
            <w:r>
              <w:rPr>
                <w:rFonts w:ascii="Calibri" w:hAnsi="Calibri" w:cs="Calibri"/>
              </w:rPr>
              <w:t>³</w:t>
            </w:r>
            <w:r>
              <w:rPr>
                <w:rFonts w:hint="eastAsia"/>
              </w:rPr>
              <w:t>/亩）</w:t>
            </w:r>
          </w:p>
        </w:tc>
        <w:tc>
          <w:tcPr>
            <w:tcW w:w="13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73"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699"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840" w:type="dxa"/>
            <w:tcBorders>
              <w:top w:val="nil"/>
              <w:left w:val="nil"/>
              <w:bottom w:val="single" w:color="auto" w:sz="4" w:space="0"/>
              <w:right w:val="single" w:color="auto" w:sz="4" w:space="0"/>
            </w:tcBorders>
            <w:shd w:val="clear" w:color="auto" w:fill="auto"/>
            <w:noWrap/>
            <w:vAlign w:val="center"/>
          </w:tcPr>
          <w:p>
            <w:pPr>
              <w:pStyle w:val="23"/>
            </w:pPr>
            <w:r>
              <w:rPr>
                <w:rFonts w:hint="eastAsia"/>
              </w:rPr>
              <w:t>　</w:t>
            </w:r>
          </w:p>
        </w:tc>
        <w:tc>
          <w:tcPr>
            <w:tcW w:w="960" w:type="dxa"/>
            <w:tcBorders>
              <w:top w:val="nil"/>
              <w:left w:val="nil"/>
              <w:bottom w:val="single" w:color="auto" w:sz="4" w:space="0"/>
              <w:right w:val="single" w:color="auto" w:sz="4" w:space="0"/>
            </w:tcBorders>
            <w:shd w:val="clear" w:color="auto" w:fill="auto"/>
            <w:noWrap/>
            <w:vAlign w:val="center"/>
          </w:tcPr>
          <w:p>
            <w:pPr>
              <w:pStyle w:val="23"/>
            </w:pPr>
            <w:r>
              <w:rPr>
                <w:rFonts w:hint="eastAsia"/>
              </w:rPr>
              <w:t>621.66</w:t>
            </w:r>
          </w:p>
        </w:tc>
      </w:tr>
    </w:tbl>
    <w:p>
      <w:pPr>
        <w:pStyle w:val="23"/>
      </w:pPr>
    </w:p>
    <w:sectPr>
      <w:pgSz w:w="11906" w:h="16838"/>
      <w:pgMar w:top="1474" w:right="1474" w:bottom="1474" w:left="1474" w:header="1077" w:footer="907" w:gutter="34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751434"/>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fldChar w:fldCharType="begin"/>
    </w:r>
    <w:r>
      <w:instrText xml:space="preserve">PAGE   \* MERGEFORMAT</w:instrText>
    </w:r>
    <w:r>
      <w:fldChar w:fldCharType="separate"/>
    </w:r>
    <w:r>
      <w:rPr>
        <w:lang w:val="zh-CN"/>
      </w:rPr>
      <w:t>21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5ZGMyMzZlNTBmNDczMWU1YzUxNzdiMjQ5ZDgzNDUifQ=="/>
  </w:docVars>
  <w:rsids>
    <w:rsidRoot w:val="0002371F"/>
    <w:rsid w:val="0002371F"/>
    <w:rsid w:val="0005132D"/>
    <w:rsid w:val="000518CA"/>
    <w:rsid w:val="00077227"/>
    <w:rsid w:val="000E7E63"/>
    <w:rsid w:val="000F2DE2"/>
    <w:rsid w:val="00113BBF"/>
    <w:rsid w:val="0011509A"/>
    <w:rsid w:val="001176F6"/>
    <w:rsid w:val="00120259"/>
    <w:rsid w:val="00133765"/>
    <w:rsid w:val="00160CD4"/>
    <w:rsid w:val="00181555"/>
    <w:rsid w:val="00190932"/>
    <w:rsid w:val="001D36F2"/>
    <w:rsid w:val="001D3DBA"/>
    <w:rsid w:val="001E070E"/>
    <w:rsid w:val="002419E7"/>
    <w:rsid w:val="0024541B"/>
    <w:rsid w:val="00247365"/>
    <w:rsid w:val="0025006C"/>
    <w:rsid w:val="00250E8E"/>
    <w:rsid w:val="002703AC"/>
    <w:rsid w:val="003066FE"/>
    <w:rsid w:val="0038540D"/>
    <w:rsid w:val="003A4B3E"/>
    <w:rsid w:val="003B052C"/>
    <w:rsid w:val="003E7323"/>
    <w:rsid w:val="004133B2"/>
    <w:rsid w:val="00420609"/>
    <w:rsid w:val="00425FC3"/>
    <w:rsid w:val="00431016"/>
    <w:rsid w:val="00433EF6"/>
    <w:rsid w:val="00483851"/>
    <w:rsid w:val="0048618F"/>
    <w:rsid w:val="004A07E0"/>
    <w:rsid w:val="004D6643"/>
    <w:rsid w:val="004E08C1"/>
    <w:rsid w:val="00502293"/>
    <w:rsid w:val="00520212"/>
    <w:rsid w:val="00534700"/>
    <w:rsid w:val="00561B55"/>
    <w:rsid w:val="00573FD4"/>
    <w:rsid w:val="00595AFD"/>
    <w:rsid w:val="005A5AAE"/>
    <w:rsid w:val="005D1FAA"/>
    <w:rsid w:val="005F2560"/>
    <w:rsid w:val="00613569"/>
    <w:rsid w:val="00647553"/>
    <w:rsid w:val="006B1EBC"/>
    <w:rsid w:val="006B648B"/>
    <w:rsid w:val="006C0453"/>
    <w:rsid w:val="006E5714"/>
    <w:rsid w:val="0070352D"/>
    <w:rsid w:val="00704041"/>
    <w:rsid w:val="00712815"/>
    <w:rsid w:val="007159E0"/>
    <w:rsid w:val="0076133A"/>
    <w:rsid w:val="007B322A"/>
    <w:rsid w:val="00811D00"/>
    <w:rsid w:val="00834F0B"/>
    <w:rsid w:val="00862EFE"/>
    <w:rsid w:val="00865169"/>
    <w:rsid w:val="008E6882"/>
    <w:rsid w:val="00975A12"/>
    <w:rsid w:val="009D253E"/>
    <w:rsid w:val="00A04DD4"/>
    <w:rsid w:val="00A5123B"/>
    <w:rsid w:val="00A97E75"/>
    <w:rsid w:val="00AE0119"/>
    <w:rsid w:val="00B012EA"/>
    <w:rsid w:val="00B17718"/>
    <w:rsid w:val="00B27CF0"/>
    <w:rsid w:val="00B32EAF"/>
    <w:rsid w:val="00B449F5"/>
    <w:rsid w:val="00B708DA"/>
    <w:rsid w:val="00BF1F41"/>
    <w:rsid w:val="00BF4709"/>
    <w:rsid w:val="00C45A8D"/>
    <w:rsid w:val="00CF7613"/>
    <w:rsid w:val="00D21D66"/>
    <w:rsid w:val="00D46AC7"/>
    <w:rsid w:val="00D5410E"/>
    <w:rsid w:val="00D82C95"/>
    <w:rsid w:val="00D86166"/>
    <w:rsid w:val="00D96047"/>
    <w:rsid w:val="00E3799F"/>
    <w:rsid w:val="00E478F1"/>
    <w:rsid w:val="00E77C14"/>
    <w:rsid w:val="00EA35BC"/>
    <w:rsid w:val="00F57DCE"/>
    <w:rsid w:val="00FE7BB0"/>
    <w:rsid w:val="227F21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name="heading 6"/>
    <w:lsdException w:qFormat="1" w:unhideWhenUsed="0" w:uiPriority="9" w:name="heading 7"/>
    <w:lsdException w:qFormat="1" w:unhideWhenUsed="0" w:uiPriority="9" w:name="heading 8"/>
    <w:lsdException w:qFormat="1" w:unhideWhenUsed="0" w:uiPriority="9" w:name="heading 9"/>
    <w:lsdException w:unhideWhenUsed="0" w:uiPriority="99" w:name="index 1"/>
    <w:lsdException w:unhideWhenUsed="0" w:uiPriority="99" w:name="index 2"/>
    <w:lsdException w:unhideWhenUsed="0" w:uiPriority="99" w:name="index 3"/>
    <w:lsdException w:unhideWhenUsed="0" w:uiPriority="99" w:name="index 4"/>
    <w:lsdException w:unhideWhenUsed="0" w:uiPriority="99" w:name="index 5"/>
    <w:lsdException w:unhideWhenUsed="0" w:uiPriority="99" w:name="index 6"/>
    <w:lsdException w:unhideWhenUsed="0" w:uiPriority="99" w:name="index 7"/>
    <w:lsdException w:unhideWhenUsed="0" w:uiPriority="99" w:name="index 8"/>
    <w:lsdException w:unhideWhenUsed="0"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name="toc 4"/>
    <w:lsdException w:unhideWhenUsed="0" w:uiPriority="39" w:name="toc 5"/>
    <w:lsdException w:unhideWhenUsed="0" w:uiPriority="39" w:name="toc 6"/>
    <w:lsdException w:unhideWhenUsed="0" w:uiPriority="39" w:name="toc 7"/>
    <w:lsdException w:unhideWhenUsed="0" w:uiPriority="39" w:name="toc 8"/>
    <w:lsdException w:unhideWhenUsed="0" w:uiPriority="39" w:name="toc 9"/>
    <w:lsdException w:unhideWhenUsed="0" w:uiPriority="99" w:name="Normal Indent"/>
    <w:lsdException w:unhideWhenUsed="0" w:uiPriority="99" w:name="footnote text"/>
    <w:lsdException w:unhideWhenUsed="0" w:uiPriority="99" w:name="annotation text"/>
    <w:lsdException w:qFormat="1" w:unhideWhenUsed="0" w:uiPriority="99" w:name="header"/>
    <w:lsdException w:qFormat="1" w:unhideWhenUsed="0" w:uiPriority="99" w:semiHidden="0" w:name="footer"/>
    <w:lsdException w:unhideWhenUsed="0" w:uiPriority="99" w:name="index heading"/>
    <w:lsdException w:qFormat="1" w:unhideWhenUsed="0" w:uiPriority="35" w:name="caption"/>
    <w:lsdException w:unhideWhenUsed="0" w:uiPriority="99" w:name="table of figures"/>
    <w:lsdException w:unhideWhenUsed="0" w:uiPriority="99" w:name="envelope address"/>
    <w:lsdException w:unhideWhenUsed="0" w:uiPriority="99" w:name="envelope return"/>
    <w:lsdException w:unhideWhenUsed="0" w:uiPriority="99" w:name="footnote reference"/>
    <w:lsdException w:unhideWhenUsed="0" w:uiPriority="99" w:name="annotation reference"/>
    <w:lsdException w:unhideWhenUsed="0" w:uiPriority="99" w:name="line number"/>
    <w:lsdException w:unhideWhenUsed="0" w:uiPriority="99" w:name="page number"/>
    <w:lsdException w:unhideWhenUsed="0" w:uiPriority="99" w:name="endnote reference"/>
    <w:lsdException w:unhideWhenUsed="0" w:uiPriority="99" w:name="endnote text"/>
    <w:lsdException w:unhideWhenUsed="0" w:uiPriority="99" w:name="table of authorities"/>
    <w:lsdException w:unhideWhenUsed="0" w:uiPriority="99" w:name="macro"/>
    <w:lsdException w:unhideWhenUsed="0" w:uiPriority="99" w:name="toa heading"/>
    <w:lsdException w:unhideWhenUsed="0" w:uiPriority="99" w:name="List"/>
    <w:lsdException w:unhideWhenUsed="0" w:uiPriority="99" w:name="List Bullet"/>
    <w:lsdException w:unhideWhenUsed="0" w:uiPriority="99" w:name="List Number"/>
    <w:lsdException w:unhideWhenUsed="0" w:uiPriority="99" w:name="List 2"/>
    <w:lsdException w:unhideWhenUsed="0" w:uiPriority="99" w:name="List 3"/>
    <w:lsdException w:unhideWhenUsed="0" w:uiPriority="99" w:name="List 4"/>
    <w:lsdException w:unhideWhenUsed="0" w:uiPriority="99" w:name="List 5"/>
    <w:lsdException w:unhideWhenUsed="0" w:uiPriority="99" w:name="List Bullet 2"/>
    <w:lsdException w:unhideWhenUsed="0" w:uiPriority="99" w:name="List Bullet 3"/>
    <w:lsdException w:unhideWhenUsed="0" w:uiPriority="99" w:name="List Bullet 4"/>
    <w:lsdException w:unhideWhenUsed="0" w:uiPriority="99" w:name="List Bullet 5"/>
    <w:lsdException w:unhideWhenUsed="0" w:uiPriority="99" w:name="List Number 2"/>
    <w:lsdException w:unhideWhenUsed="0" w:uiPriority="99" w:name="List Number 3"/>
    <w:lsdException w:unhideWhenUsed="0" w:uiPriority="99" w:name="List Number 4"/>
    <w:lsdException w:unhideWhenUsed="0" w:uiPriority="99" w:name="List Number 5"/>
    <w:lsdException w:qFormat="1" w:unhideWhenUsed="0" w:uiPriority="10" w:name="Title"/>
    <w:lsdException w:unhideWhenUsed="0" w:uiPriority="99" w:name="Closing"/>
    <w:lsdException w:unhideWhenUsed="0" w:uiPriority="99" w:name="Signature"/>
    <w:lsdException w:qFormat="1" w:uiPriority="1" w:name="Default Paragraph Font"/>
    <w:lsdException w:unhideWhenUsed="0" w:uiPriority="99" w:name="Body Text"/>
    <w:lsdException w:unhideWhenUsed="0" w:uiPriority="99" w:name="Body Text Indent"/>
    <w:lsdException w:unhideWhenUsed="0" w:uiPriority="99" w:name="List Continue"/>
    <w:lsdException w:unhideWhenUsed="0" w:uiPriority="99" w:name="List Continue 2"/>
    <w:lsdException w:unhideWhenUsed="0" w:uiPriority="99" w:name="List Continue 3"/>
    <w:lsdException w:unhideWhenUsed="0" w:uiPriority="99" w:name="List Continue 4"/>
    <w:lsdException w:unhideWhenUsed="0" w:uiPriority="99" w:name="List Continue 5"/>
    <w:lsdException w:unhideWhenUsed="0" w:uiPriority="99" w:name="Message Header"/>
    <w:lsdException w:qFormat="1" w:unhideWhenUsed="0" w:uiPriority="11" w:name="Subtitle"/>
    <w:lsdException w:unhideWhenUsed="0" w:uiPriority="99" w:name="Salutation"/>
    <w:lsdException w:unhideWhenUsed="0" w:uiPriority="99" w:name="Date"/>
    <w:lsdException w:unhideWhenUsed="0" w:uiPriority="99" w:name="Body Text First Indent"/>
    <w:lsdException w:unhideWhenUsed="0" w:uiPriority="99" w:name="Body Text First Indent 2"/>
    <w:lsdException w:unhideWhenUsed="0" w:uiPriority="99" w:name="Note Heading"/>
    <w:lsdException w:unhideWhenUsed="0" w:uiPriority="99" w:name="Body Text 2"/>
    <w:lsdException w:unhideWhenUsed="0" w:uiPriority="99" w:name="Body Text 3"/>
    <w:lsdException w:unhideWhenUsed="0" w:uiPriority="0" w:semiHidden="0" w:name="Body Text Indent 2"/>
    <w:lsdException w:unhideWhenUsed="0" w:uiPriority="99" w:name="Body Text Indent 3"/>
    <w:lsdException w:unhideWhenUsed="0" w:uiPriority="99" w:name="Block Text"/>
    <w:lsdException w:qFormat="1" w:uiPriority="99" w:semiHidden="0" w:name="Hyperlink"/>
    <w:lsdException w:unhideWhenUsed="0" w:uiPriority="99" w:name="FollowedHyperlink"/>
    <w:lsdException w:qFormat="1" w:unhideWhenUsed="0" w:uiPriority="22" w:name="Strong"/>
    <w:lsdException w:qFormat="1" w:unhideWhenUsed="0" w:uiPriority="20" w:name="Emphasis"/>
    <w:lsdException w:unhideWhenUsed="0" w:uiPriority="99" w:name="Document Map"/>
    <w:lsdException w:unhideWhenUsed="0" w:uiPriority="99" w:name="Plain Text"/>
    <w:lsdException w:unhideWhenUsed="0" w:uiPriority="99" w:name="E-mail Signature"/>
    <w:lsdException w:unhideWhenUsed="0" w:uiPriority="99" w:name="Normal (Web)"/>
    <w:lsdException w:unhideWhenUsed="0" w:uiPriority="99" w:name="HTML Acronym"/>
    <w:lsdException w:unhideWhenUsed="0" w:uiPriority="99" w:name="HTML Address"/>
    <w:lsdException w:unhideWhenUsed="0" w:uiPriority="99" w:name="HTML Cite"/>
    <w:lsdException w:unhideWhenUsed="0" w:uiPriority="99" w:name="HTML Code"/>
    <w:lsdException w:unhideWhenUsed="0" w:uiPriority="99" w:name="HTML Definition"/>
    <w:lsdException w:unhideWhenUsed="0" w:uiPriority="99" w:name="HTML Keyboard"/>
    <w:lsdException w:unhideWhenUsed="0" w:uiPriority="99" w:name="HTML Preformatted"/>
    <w:lsdException w:unhideWhenUsed="0" w:uiPriority="99" w:name="HTML Sample"/>
    <w:lsdException w:unhideWhenUsed="0" w:uiPriority="99" w:name="HTML Typewriter"/>
    <w:lsdException w:unhideWhenUsed="0" w:uiPriority="99" w:name="HTML Variable"/>
    <w:lsdException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360" w:lineRule="auto"/>
      <w:ind w:firstLine="200" w:firstLineChars="200"/>
    </w:pPr>
    <w:rPr>
      <w:rFonts w:ascii="Times New Roman" w:hAnsi="Times New Roman" w:eastAsia="仿宋" w:cstheme="minorBidi"/>
      <w:kern w:val="2"/>
      <w:sz w:val="28"/>
      <w:szCs w:val="22"/>
      <w:lang w:val="en-US" w:eastAsia="zh-CN" w:bidi="ar-SA"/>
      <w14:ligatures w14:val="standardContextual"/>
    </w:rPr>
  </w:style>
  <w:style w:type="paragraph" w:styleId="2">
    <w:name w:val="heading 1"/>
    <w:basedOn w:val="1"/>
    <w:next w:val="1"/>
    <w:link w:val="19"/>
    <w:qFormat/>
    <w:uiPriority w:val="9"/>
    <w:pPr>
      <w:keepNext/>
      <w:keepLines/>
      <w:spacing w:line="480" w:lineRule="auto"/>
      <w:ind w:firstLine="0" w:firstLineChars="0"/>
      <w:jc w:val="center"/>
      <w:outlineLvl w:val="0"/>
    </w:pPr>
    <w:rPr>
      <w:bCs/>
      <w:kern w:val="44"/>
      <w:sz w:val="44"/>
      <w:szCs w:val="44"/>
    </w:rPr>
  </w:style>
  <w:style w:type="paragraph" w:styleId="3">
    <w:name w:val="heading 2"/>
    <w:basedOn w:val="1"/>
    <w:next w:val="1"/>
    <w:link w:val="18"/>
    <w:qFormat/>
    <w:uiPriority w:val="9"/>
    <w:pPr>
      <w:keepNext/>
      <w:keepLines/>
      <w:ind w:firstLine="0" w:firstLineChars="0"/>
      <w:outlineLvl w:val="1"/>
    </w:pPr>
    <w:rPr>
      <w:rFonts w:cstheme="majorBidi"/>
      <w:bCs/>
      <w:sz w:val="32"/>
      <w:szCs w:val="32"/>
    </w:rPr>
  </w:style>
  <w:style w:type="paragraph" w:styleId="4">
    <w:name w:val="heading 3"/>
    <w:basedOn w:val="1"/>
    <w:next w:val="1"/>
    <w:link w:val="17"/>
    <w:qFormat/>
    <w:uiPriority w:val="9"/>
    <w:pPr>
      <w:keepNext/>
      <w:keepLines/>
      <w:ind w:firstLine="0" w:firstLineChars="0"/>
      <w:outlineLvl w:val="2"/>
    </w:pPr>
    <w:rPr>
      <w:bCs/>
      <w:sz w:val="30"/>
      <w:szCs w:val="32"/>
    </w:rPr>
  </w:style>
  <w:style w:type="paragraph" w:styleId="5">
    <w:name w:val="heading 4"/>
    <w:basedOn w:val="1"/>
    <w:next w:val="1"/>
    <w:link w:val="16"/>
    <w:qFormat/>
    <w:uiPriority w:val="9"/>
    <w:pPr>
      <w:keepNext/>
      <w:keepLines/>
      <w:ind w:firstLine="0" w:firstLineChars="0"/>
      <w:outlineLvl w:val="3"/>
    </w:pPr>
    <w:rPr>
      <w:rFonts w:cstheme="majorBidi"/>
      <w:bCs/>
      <w:szCs w:val="28"/>
    </w:rPr>
  </w:style>
  <w:style w:type="paragraph" w:styleId="6">
    <w:name w:val="heading 5"/>
    <w:basedOn w:val="1"/>
    <w:next w:val="1"/>
    <w:link w:val="24"/>
    <w:qFormat/>
    <w:uiPriority w:val="9"/>
    <w:pPr>
      <w:keepNext/>
      <w:keepLines/>
      <w:spacing w:before="280" w:after="290" w:line="376" w:lineRule="auto"/>
      <w:ind w:firstLine="0" w:firstLineChars="0"/>
      <w:jc w:val="both"/>
      <w:outlineLvl w:val="4"/>
    </w:pPr>
    <w:rPr>
      <w:rFonts w:asciiTheme="minorHAnsi" w:hAnsiTheme="minorHAnsi" w:eastAsiaTheme="minorEastAsia"/>
      <w:b/>
      <w:bCs/>
      <w:szCs w:val="28"/>
      <w14:ligatures w14:val="none"/>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7">
    <w:name w:val="toc 3"/>
    <w:basedOn w:val="1"/>
    <w:next w:val="1"/>
    <w:autoRedefine/>
    <w:qFormat/>
    <w:uiPriority w:val="39"/>
    <w:pPr>
      <w:ind w:left="840" w:leftChars="400"/>
    </w:pPr>
  </w:style>
  <w:style w:type="paragraph" w:styleId="8">
    <w:name w:val="Body Text Indent 2"/>
    <w:basedOn w:val="1"/>
    <w:link w:val="25"/>
    <w:uiPriority w:val="0"/>
    <w:pPr>
      <w:spacing w:after="120" w:line="480" w:lineRule="auto"/>
      <w:ind w:left="420" w:leftChars="200" w:firstLine="0" w:firstLineChars="0"/>
      <w:jc w:val="both"/>
    </w:pPr>
    <w:rPr>
      <w:rFonts w:asciiTheme="minorHAnsi" w:hAnsiTheme="minorHAnsi" w:eastAsiaTheme="minorEastAsia"/>
      <w:sz w:val="21"/>
      <w:szCs w:val="24"/>
      <w14:ligatures w14:val="none"/>
    </w:rPr>
  </w:style>
  <w:style w:type="paragraph" w:styleId="9">
    <w:name w:val="footer"/>
    <w:basedOn w:val="1"/>
    <w:link w:val="21"/>
    <w:qFormat/>
    <w:uiPriority w:val="99"/>
    <w:pPr>
      <w:tabs>
        <w:tab w:val="center" w:pos="4153"/>
        <w:tab w:val="right" w:pos="8306"/>
      </w:tabs>
      <w:snapToGrid w:val="0"/>
      <w:spacing w:line="240" w:lineRule="auto"/>
    </w:pPr>
    <w:rPr>
      <w:sz w:val="18"/>
      <w:szCs w:val="18"/>
    </w:rPr>
  </w:style>
  <w:style w:type="paragraph" w:styleId="10">
    <w:name w:val="header"/>
    <w:basedOn w:val="1"/>
    <w:link w:val="20"/>
    <w:semiHidden/>
    <w:qFormat/>
    <w:uiPriority w:val="99"/>
    <w:pPr>
      <w:tabs>
        <w:tab w:val="center" w:pos="4153"/>
        <w:tab w:val="right" w:pos="8306"/>
      </w:tabs>
      <w:snapToGrid w:val="0"/>
      <w:spacing w:line="240" w:lineRule="auto"/>
      <w:jc w:val="center"/>
    </w:pPr>
    <w:rPr>
      <w:sz w:val="18"/>
      <w:szCs w:val="18"/>
    </w:rPr>
  </w:style>
  <w:style w:type="paragraph" w:styleId="11">
    <w:name w:val="toc 1"/>
    <w:basedOn w:val="1"/>
    <w:next w:val="1"/>
    <w:autoRedefine/>
    <w:qFormat/>
    <w:uiPriority w:val="39"/>
  </w:style>
  <w:style w:type="paragraph" w:styleId="12">
    <w:name w:val="toc 2"/>
    <w:basedOn w:val="1"/>
    <w:next w:val="1"/>
    <w:autoRedefine/>
    <w:qFormat/>
    <w:uiPriority w:val="39"/>
    <w:pPr>
      <w:ind w:left="420" w:leftChars="200"/>
    </w:pPr>
  </w:style>
  <w:style w:type="character" w:styleId="15">
    <w:name w:val="Hyperlink"/>
    <w:basedOn w:val="14"/>
    <w:unhideWhenUsed/>
    <w:qFormat/>
    <w:uiPriority w:val="99"/>
    <w:rPr>
      <w:color w:val="467886" w:themeColor="hyperlink"/>
      <w:u w:val="single"/>
      <w14:textFill>
        <w14:solidFill>
          <w14:schemeClr w14:val="hlink"/>
        </w14:solidFill>
      </w14:textFill>
    </w:rPr>
  </w:style>
  <w:style w:type="character" w:customStyle="1" w:styleId="16">
    <w:name w:val="标题 4 字符"/>
    <w:basedOn w:val="14"/>
    <w:link w:val="5"/>
    <w:uiPriority w:val="9"/>
    <w:rPr>
      <w:rFonts w:ascii="Times New Roman" w:hAnsi="Times New Roman" w:eastAsia="仿宋" w:cstheme="majorBidi"/>
      <w:bCs/>
      <w:sz w:val="28"/>
      <w:szCs w:val="28"/>
    </w:rPr>
  </w:style>
  <w:style w:type="character" w:customStyle="1" w:styleId="17">
    <w:name w:val="标题 3 字符"/>
    <w:basedOn w:val="14"/>
    <w:link w:val="4"/>
    <w:qFormat/>
    <w:uiPriority w:val="9"/>
    <w:rPr>
      <w:rFonts w:ascii="Times New Roman" w:hAnsi="Times New Roman" w:eastAsia="仿宋"/>
      <w:bCs/>
      <w:sz w:val="30"/>
      <w:szCs w:val="32"/>
    </w:rPr>
  </w:style>
  <w:style w:type="character" w:customStyle="1" w:styleId="18">
    <w:name w:val="标题 2 字符"/>
    <w:basedOn w:val="14"/>
    <w:link w:val="3"/>
    <w:qFormat/>
    <w:uiPriority w:val="9"/>
    <w:rPr>
      <w:rFonts w:ascii="Times New Roman" w:hAnsi="Times New Roman" w:eastAsia="仿宋" w:cstheme="majorBidi"/>
      <w:bCs/>
      <w:sz w:val="32"/>
      <w:szCs w:val="32"/>
    </w:rPr>
  </w:style>
  <w:style w:type="character" w:customStyle="1" w:styleId="19">
    <w:name w:val="标题 1 字符"/>
    <w:basedOn w:val="14"/>
    <w:link w:val="2"/>
    <w:qFormat/>
    <w:uiPriority w:val="9"/>
    <w:rPr>
      <w:rFonts w:ascii="Times New Roman" w:hAnsi="Times New Roman" w:eastAsia="仿宋"/>
      <w:bCs/>
      <w:kern w:val="44"/>
      <w:sz w:val="44"/>
      <w:szCs w:val="44"/>
    </w:rPr>
  </w:style>
  <w:style w:type="character" w:customStyle="1" w:styleId="20">
    <w:name w:val="页眉 字符"/>
    <w:basedOn w:val="14"/>
    <w:link w:val="10"/>
    <w:semiHidden/>
    <w:qFormat/>
    <w:uiPriority w:val="99"/>
    <w:rPr>
      <w:rFonts w:ascii="Times New Roman" w:hAnsi="Times New Roman" w:eastAsia="仿宋"/>
      <w:sz w:val="18"/>
      <w:szCs w:val="18"/>
    </w:rPr>
  </w:style>
  <w:style w:type="character" w:customStyle="1" w:styleId="21">
    <w:name w:val="页脚 字符"/>
    <w:basedOn w:val="14"/>
    <w:link w:val="9"/>
    <w:qFormat/>
    <w:uiPriority w:val="99"/>
    <w:rPr>
      <w:rFonts w:ascii="Times New Roman" w:hAnsi="Times New Roman" w:eastAsia="仿宋"/>
      <w:sz w:val="18"/>
      <w:szCs w:val="18"/>
    </w:rPr>
  </w:style>
  <w:style w:type="paragraph" w:customStyle="1" w:styleId="22">
    <w:name w:val="表头"/>
    <w:basedOn w:val="1"/>
    <w:qFormat/>
    <w:uiPriority w:val="0"/>
    <w:pPr>
      <w:ind w:firstLine="0" w:firstLineChars="0"/>
      <w:jc w:val="center"/>
    </w:pPr>
  </w:style>
  <w:style w:type="paragraph" w:customStyle="1" w:styleId="23">
    <w:name w:val="表格"/>
    <w:basedOn w:val="1"/>
    <w:qFormat/>
    <w:uiPriority w:val="0"/>
    <w:pPr>
      <w:spacing w:line="240" w:lineRule="auto"/>
      <w:ind w:firstLine="0" w:firstLineChars="0"/>
    </w:pPr>
    <w:rPr>
      <w:sz w:val="21"/>
    </w:rPr>
  </w:style>
  <w:style w:type="character" w:customStyle="1" w:styleId="24">
    <w:name w:val="标题 5 字符"/>
    <w:basedOn w:val="14"/>
    <w:link w:val="6"/>
    <w:qFormat/>
    <w:uiPriority w:val="9"/>
    <w:rPr>
      <w:b/>
      <w:bCs/>
      <w:sz w:val="28"/>
      <w:szCs w:val="28"/>
      <w14:ligatures w14:val="none"/>
    </w:rPr>
  </w:style>
  <w:style w:type="character" w:customStyle="1" w:styleId="25">
    <w:name w:val="正文文本缩进 2 字符"/>
    <w:basedOn w:val="14"/>
    <w:link w:val="8"/>
    <w:qFormat/>
    <w:uiPriority w:val="0"/>
    <w:rPr>
      <w:sz w:val="21"/>
      <w:szCs w:val="24"/>
      <w14:ligatures w14:val="none"/>
    </w:rPr>
  </w:style>
  <w:style w:type="paragraph" w:customStyle="1" w:styleId="26">
    <w:name w:val="正文格式"/>
    <w:basedOn w:val="1"/>
    <w:link w:val="27"/>
    <w:qFormat/>
    <w:uiPriority w:val="0"/>
    <w:rPr>
      <w:rFonts w:eastAsia="宋体" w:cs="Times New Roman"/>
      <w:color w:val="000000" w:themeColor="text1"/>
      <w:sz w:val="24"/>
      <w:szCs w:val="24"/>
      <w14:textFill>
        <w14:solidFill>
          <w14:schemeClr w14:val="tx1"/>
        </w14:solidFill>
      </w14:textFill>
      <w14:ligatures w14:val="none"/>
    </w:rPr>
  </w:style>
  <w:style w:type="character" w:customStyle="1" w:styleId="27">
    <w:name w:val="正文格式 字符"/>
    <w:basedOn w:val="14"/>
    <w:link w:val="26"/>
    <w:qFormat/>
    <w:uiPriority w:val="0"/>
    <w:rPr>
      <w:rFonts w:ascii="Times New Roman" w:hAnsi="Times New Roman" w:eastAsia="宋体" w:cs="Times New Roman"/>
      <w:color w:val="000000" w:themeColor="text1"/>
      <w:sz w:val="24"/>
      <w:szCs w:val="24"/>
      <w14:textFill>
        <w14:solidFill>
          <w14:schemeClr w14:val="tx1"/>
        </w14:solidFill>
      </w14:textFill>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25.wmf"/><Relationship Id="rId56" Type="http://schemas.openxmlformats.org/officeDocument/2006/relationships/oleObject" Target="embeddings/oleObject20.bin"/><Relationship Id="rId55" Type="http://schemas.openxmlformats.org/officeDocument/2006/relationships/image" Target="media/image24.wmf"/><Relationship Id="rId54" Type="http://schemas.openxmlformats.org/officeDocument/2006/relationships/image" Target="media/image23.wmf"/><Relationship Id="rId53" Type="http://schemas.openxmlformats.org/officeDocument/2006/relationships/oleObject" Target="embeddings/oleObject19.bin"/><Relationship Id="rId52" Type="http://schemas.openxmlformats.org/officeDocument/2006/relationships/image" Target="media/image22.wmf"/><Relationship Id="rId51" Type="http://schemas.openxmlformats.org/officeDocument/2006/relationships/oleObject" Target="embeddings/oleObject18.bin"/><Relationship Id="rId50" Type="http://schemas.openxmlformats.org/officeDocument/2006/relationships/image" Target="media/image21.wmf"/><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17.bin"/><Relationship Id="rId47" Type="http://schemas.openxmlformats.org/officeDocument/2006/relationships/image" Target="media/image19.wmf"/><Relationship Id="rId46" Type="http://schemas.openxmlformats.org/officeDocument/2006/relationships/image" Target="media/image18.wmf"/><Relationship Id="rId45" Type="http://schemas.openxmlformats.org/officeDocument/2006/relationships/oleObject" Target="embeddings/oleObject16.bin"/><Relationship Id="rId44" Type="http://schemas.openxmlformats.org/officeDocument/2006/relationships/image" Target="media/image17.wmf"/><Relationship Id="rId43" Type="http://schemas.openxmlformats.org/officeDocument/2006/relationships/oleObject" Target="embeddings/oleObject15.bin"/><Relationship Id="rId42" Type="http://schemas.openxmlformats.org/officeDocument/2006/relationships/oleObject" Target="embeddings/oleObject14.bin"/><Relationship Id="rId41" Type="http://schemas.openxmlformats.org/officeDocument/2006/relationships/image" Target="media/image16.wmf"/><Relationship Id="rId40" Type="http://schemas.openxmlformats.org/officeDocument/2006/relationships/oleObject" Target="embeddings/oleObject13.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12.bin"/><Relationship Id="rId37" Type="http://schemas.openxmlformats.org/officeDocument/2006/relationships/image" Target="media/image14.wmf"/><Relationship Id="rId36" Type="http://schemas.openxmlformats.org/officeDocument/2006/relationships/oleObject" Target="embeddings/oleObject11.bin"/><Relationship Id="rId35" Type="http://schemas.openxmlformats.org/officeDocument/2006/relationships/image" Target="media/image13.wmf"/><Relationship Id="rId34" Type="http://schemas.openxmlformats.org/officeDocument/2006/relationships/oleObject" Target="embeddings/oleObject10.bin"/><Relationship Id="rId33" Type="http://schemas.openxmlformats.org/officeDocument/2006/relationships/image" Target="media/image12.wmf"/><Relationship Id="rId32" Type="http://schemas.openxmlformats.org/officeDocument/2006/relationships/oleObject" Target="embeddings/oleObject9.bin"/><Relationship Id="rId31" Type="http://schemas.openxmlformats.org/officeDocument/2006/relationships/image" Target="media/image11.wmf"/><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7.bin"/><Relationship Id="rId27" Type="http://schemas.openxmlformats.org/officeDocument/2006/relationships/image" Target="media/image9.wmf"/><Relationship Id="rId26" Type="http://schemas.openxmlformats.org/officeDocument/2006/relationships/oleObject" Target="embeddings/oleObject6.bin"/><Relationship Id="rId25" Type="http://schemas.openxmlformats.org/officeDocument/2006/relationships/image" Target="media/image8.wmf"/><Relationship Id="rId24" Type="http://schemas.openxmlformats.org/officeDocument/2006/relationships/oleObject" Target="embeddings/oleObject5.bin"/><Relationship Id="rId23" Type="http://schemas.openxmlformats.org/officeDocument/2006/relationships/image" Target="media/image7.wmf"/><Relationship Id="rId22" Type="http://schemas.openxmlformats.org/officeDocument/2006/relationships/oleObject" Target="embeddings/oleObject4.bin"/><Relationship Id="rId21" Type="http://schemas.openxmlformats.org/officeDocument/2006/relationships/image" Target="media/image6.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2.bin"/><Relationship Id="rId17" Type="http://schemas.openxmlformats.org/officeDocument/2006/relationships/image" Target="media/image4.w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4AC83-5437-4F05-9B8B-D19C572539CC}">
  <ds:schemaRefs/>
</ds:datastoreItem>
</file>

<file path=docProps/app.xml><?xml version="1.0" encoding="utf-8"?>
<Properties xmlns="http://schemas.openxmlformats.org/officeDocument/2006/extended-properties" xmlns:vt="http://schemas.openxmlformats.org/officeDocument/2006/docPropsVTypes">
  <Template>Normal</Template>
  <Pages>33</Pages>
  <Words>12662</Words>
  <Characters>14308</Characters>
  <Lines>135</Lines>
  <Paragraphs>38</Paragraphs>
  <TotalTime>240</TotalTime>
  <ScaleCrop>false</ScaleCrop>
  <LinksUpToDate>false</LinksUpToDate>
  <CharactersWithSpaces>14629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2024-03-31T18:51:00Z</dcterms:created>
  <dc:creator>河 尼雅</dc:creator>
  <cp:lastModifiedBy>lenovo</cp:lastModifiedBy>
  <cp:lastPrinted>2024-04-15T14:03:00Z</cp:lastPrinted>
  <dcterms:modified xsi:type="dcterms:W3CDTF">2024-05-24T04:47:20Z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74037F070164434597A7E75DEA284C12_12</vt:lpwstr>
  </property>
</Properties>
</file>