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color w:val="FF0000"/>
          <w:w w:val="50"/>
          <w:position w:val="6"/>
          <w:sz w:val="160"/>
          <w:szCs w:val="160"/>
          <w:lang w:val="en-US" w:eastAsia="zh-CN"/>
        </w:rPr>
      </w:pPr>
      <w:bookmarkStart w:id="0" w:name="filename"/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563245</wp:posOffset>
                </wp:positionV>
                <wp:extent cx="56483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5835" y="162052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95pt;margin-top:44.35pt;height:0pt;width:444.75pt;z-index:251662336;mso-width-relative:page;mso-height-relative:page;" filled="f" stroked="t" coordsize="21600,21600" o:gfxdata="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XOns2AAA&#10;AAkBAAAPAAAAAAAAAAEAIAAAACIAAABkcnMvZG93bnJldi54bWxQSwECFAAUAAAACACHTuJAfef+&#10;CuUBAAClAwAADgAAAAAAAAABACAAAAAnAQAAZHJzL2Uyb0RvYy54bWxQSwUGAAAAAAYABgBZAQAA&#10;fgUAAAAA&#10;">
                <v:fill on="f" focussize="0,0"/>
                <v:stroke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511175</wp:posOffset>
                </wp:positionV>
                <wp:extent cx="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  <a:endCxn id="5" idx="1"/>
                      </wps:cNvCnPr>
                      <wps:spPr>
                        <a:xfrm>
                          <a:off x="937895" y="1425575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15pt;margin-top:40.25pt;height:0pt;width:0pt;z-index:251661312;mso-width-relative:page;mso-height-relative:page;" filled="f" stroked="t" coordsize="21600,21600" o:gfxdata="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bL0RbWAAAACQEAAA8AAAAAAAAA&#10;AQAgAAAAIgAAAGRycy9kb3ducmV2LnhtbFBLAQIUABQAAAAIAIdO4kB8NzWFEwIAABgEAAAOAAAA&#10;AAAAAAEAIAAAACUBAABkcnMvZTJvRG9jLnhtbFBLBQYAAAAABgAGAFkBAACq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511175</wp:posOffset>
                </wp:positionV>
                <wp:extent cx="5704840" cy="0"/>
                <wp:effectExtent l="33655" t="24765" r="33655" b="895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  <a:endCxn id="5" idx="3"/>
                      </wps:cNvCnPr>
                      <wps:spPr>
                        <a:xfrm>
                          <a:off x="937895" y="1425575"/>
                          <a:ext cx="570484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15pt;margin-top:40.25pt;height:0pt;width:449.2pt;z-index:251660288;mso-width-relative:page;mso-height-relative:page;" filled="f" stroked="t" coordsize="21600,21600" o:gfxdata="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3OnEtkAAAAJAQAADwAAAAAA&#10;AAABACAAAAAiAAAAZHJzL2Rvd25yZXYueG1sUEsBAhQAFAAAAAgAh07iQHmDittLAgAAkgQAAA4A&#10;AAAAAAAAAQAgAAAAKAEAAGRycy9lMm9Eb2MueG1sUEsFBgAAAAAGAAYAWQEAAOUFAAAAAA==&#10;">
                <v:fill on="f" focussize="0,0"/>
                <v:stroke weight="2.25pt" color="#FF0000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b/>
          <w:bCs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391795</wp:posOffset>
                </wp:positionV>
                <wp:extent cx="5704840" cy="2381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1334770"/>
                          <a:ext cx="570484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u w:val="doub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double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/>
                                <w:u w:val="doubl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15pt;margin-top:30.85pt;height:18.75pt;width:449.2pt;z-index:251659264;mso-width-relative:page;mso-height-relative:page;" filled="f" stroked="f" coordsize="21600,21600" o:gfxdata="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2gZeLbAAAACQEAAA8AAAAAAAAA&#10;AQAgAAAAIgAAAGRycy9kb3ducmV2LnhtbFBLAQIUABQAAAAIAIdO4kDH6CVD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u w:val="doub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double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/>
                          <w:u w:val="doubl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trike w:val="0"/>
          <w:dstrike w:val="0"/>
          <w:color w:val="FF0000"/>
          <w:spacing w:val="34"/>
          <w:w w:val="100"/>
          <w:sz w:val="52"/>
          <w:szCs w:val="52"/>
          <w:u w:val="none" w:color="auto"/>
          <w:lang w:val="en-US" w:eastAsia="zh-CN"/>
        </w:rPr>
        <w:t>新疆维吾尔自治区和田市财政局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</w:t>
      </w:r>
      <w:r>
        <w:rPr>
          <w:rFonts w:ascii="方正小标宋_GBK" w:hAnsi="宋体" w:eastAsia="方正小标宋_GBK"/>
          <w:sz w:val="44"/>
          <w:szCs w:val="44"/>
        </w:rPr>
        <w:t>20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20</w:t>
      </w:r>
      <w:r>
        <w:rPr>
          <w:rFonts w:ascii="方正小标宋_GBK" w:hAnsi="宋体" w:eastAsia="方正小标宋_GBK"/>
          <w:sz w:val="44"/>
          <w:szCs w:val="44"/>
        </w:rPr>
        <w:t>年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和田市</w:t>
      </w:r>
      <w:r>
        <w:rPr>
          <w:rFonts w:ascii="方正小标宋_GBK" w:hAnsi="宋体" w:eastAsia="方正小标宋_GBK"/>
          <w:sz w:val="44"/>
          <w:szCs w:val="44"/>
        </w:rPr>
        <w:t>绩效管理工作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ascii="方正小标宋_GBK" w:hAnsi="宋体" w:eastAsia="方正小标宋_GBK"/>
          <w:sz w:val="44"/>
          <w:szCs w:val="44"/>
        </w:rPr>
        <w:t>情况的报告</w:t>
      </w:r>
      <w:bookmarkEnd w:id="0"/>
    </w:p>
    <w:p>
      <w:pPr>
        <w:spacing w:line="560" w:lineRule="exact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1" w:name="zsbm"/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和田市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bookmarkEnd w:id="1"/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民政府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和田市</w:t>
      </w:r>
      <w:r>
        <w:rPr>
          <w:rFonts w:hint="eastAsia" w:ascii="黑体" w:hAnsi="黑体" w:eastAsia="黑体"/>
          <w:sz w:val="32"/>
          <w:szCs w:val="32"/>
        </w:rPr>
        <w:t>全面实施预算绩效管理的工作措施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（一）建立健全绩效管理工作机制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2018年12月20日研究制定《关于全面推进和田市预算绩效管理工作实施方案》(和市财字[2018]110号)出台《和田市预算绩效管理办法(试行)》。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大家意识到绩效管理的重要性和必要性，也意识到“预算绩效管理”不仅仅是财务人员的事，更是全市部门单位的事。和田市财政局业务股室主要职责是，负责本股室对口部门单位预算绩效目标和指标体系的汇总、报送、调整;指导各部门单位编制和实施预算绩效目标;组织对绩效目标完成情况的过程监控和评价。由此，和田市财政局建立健全了绩效管理工作机制，改变了财务人员“单打独斗”的局面，现在全市都知晓“用钱必问效，无效要追责”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完善全覆盖预算绩效管理体系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在编制2020年部门预算时，同时编制了绩效目标。年初将所有项目支出都编制了绩效目标，对年中追加的财政资金也及时重新报送绩效目标，使绩效目标管理覆盖率达100%。力争绩效目标描述清晰、依据充分。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（三）强化绩效目标管理。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根据各项目的特点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开展绩效目标管理。各部门单位申请项目支出（含部门预算安排和年中追加），逐项设置绩效目标。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各项目自身运行的特点、可能存在影响项目进展的因素，结合项目关键性时间节点，逐步从政策制度、管理程序、操作办法等多层面完善相关保障措施，组织实施。严格把关绩效目标申报。业务股室在各预算单位申报2020年度预算资金时，一并上报项目绩效目标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开展</w:t>
      </w:r>
      <w:r>
        <w:rPr>
          <w:rFonts w:ascii="楷体_GB2312" w:hAnsi="楷体" w:eastAsia="楷体_GB2312"/>
          <w:b/>
          <w:sz w:val="32"/>
          <w:szCs w:val="32"/>
        </w:rPr>
        <w:t>20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20</w:t>
      </w:r>
      <w:r>
        <w:rPr>
          <w:rFonts w:ascii="楷体_GB2312" w:hAnsi="楷体" w:eastAsia="楷体_GB2312"/>
          <w:b/>
          <w:sz w:val="32"/>
          <w:szCs w:val="32"/>
        </w:rPr>
        <w:t>年度绩效评价工作。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，市财政局围绕“预算编制有目标、预算执行有监控、预算完成有评价、评价结果有反馈、反馈结果有运用”的绩效管理理念，通过优化目标管理、创新监控方式、拓宽评价范围、加大结果应用等举措加强预算绩效管理，将绩效管理各项规定落实到预算管理的全过程，推进预算绩效管理工作转型升级。每份评价报告都从资金管理和项目管理方面提出建设性建议，根据重点评价报告提出的问题和建议，对相关单位提出整改意见，要求各单位按时报送整改措施，并对整改情况进行再检查、再核实，督促整改措施落到实处，确保每个重点评价取得实效。绩效评价结果作为预算安排参考依据，预算资金调整意见提交人大审核通过，由对口科室执行预算调减。将重大项目的评价报告呈报市政府，为政府决策提供绩效参考，并作为实施行政问责的重要依据。和田市2019年确定重点项目3个并邀请第三方对三个项目进行评价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和田市果皮箱及垃圾船采购项目，实施单位：和田市环卫处，评价得分91.5分。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和田市2019年防洪物资储备项目，实施单位：和田市水利局，评价得分：83.2分。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和田市生态公墓建设项目，实施单位：和田市民政局，评价得分：81.5分。</w:t>
      </w:r>
    </w:p>
    <w:p>
      <w:pPr>
        <w:numPr>
          <w:ilvl w:val="0"/>
          <w:numId w:val="1"/>
        </w:numPr>
        <w:spacing w:line="560" w:lineRule="exact"/>
        <w:ind w:left="0" w:leftChars="0" w:firstLine="643" w:firstLineChars="200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加强组织</w:t>
      </w:r>
      <w:bookmarkStart w:id="2" w:name="_GoBack"/>
      <w:bookmarkEnd w:id="2"/>
      <w:r>
        <w:rPr>
          <w:rFonts w:hint="eastAsia" w:ascii="楷体_GB2312" w:hAnsi="楷体" w:eastAsia="楷体_GB2312"/>
          <w:b/>
          <w:sz w:val="32"/>
          <w:szCs w:val="32"/>
        </w:rPr>
        <w:t>建设。</w:t>
      </w:r>
    </w:p>
    <w:p>
      <w:pPr>
        <w:numPr>
          <w:ilvl w:val="0"/>
          <w:numId w:val="0"/>
        </w:numPr>
        <w:ind w:firstLine="640" w:firstLineChars="200"/>
        <w:rPr>
          <w:rFonts w:hint="default" w:ascii="楷体_GB2312" w:hAnsi="楷体" w:eastAsia="楷体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为加强和田市的预算绩效管理工作，和田市财政局成立预算绩效考核领导小组，由李刚局长任领导小组组长，王霞任副组长，下设领导小组办公室，预算股负责具体工作。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和田市</w:t>
      </w:r>
      <w:r>
        <w:rPr>
          <w:rFonts w:hint="eastAsia" w:ascii="黑体" w:hAnsi="黑体" w:eastAsia="黑体"/>
          <w:sz w:val="32"/>
          <w:szCs w:val="32"/>
        </w:rPr>
        <w:t>单位工作推进情况</w:t>
      </w:r>
    </w:p>
    <w:p>
      <w:pPr>
        <w:numPr>
          <w:ilvl w:val="0"/>
          <w:numId w:val="0"/>
        </w:numPr>
        <w:spacing w:line="560" w:lineRule="exact"/>
        <w:rPr>
          <w:rFonts w:hint="default" w:ascii="楷体_GB2312" w:hAnsi="楷体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2020年和田市财政局从各部门单位申报的绩效目标严格审核把关，扶贫资金在动态监管系统中进行监控管理。对和田市2020年预算项目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419个，对项目绩效目标进行审核，资金规模为15.9亿元，涉及预算单位94个。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直部门和单位根据反馈意见对绩效目标进行修改，重新上报市财政部门。通过组织绩效目标评审，增强了预算部门绩效目标管理意识和责任，明晰重点项目绩效目标完善的路径和方法，为确保高质量完成绩效评价工作奠定了基础。</w:t>
      </w:r>
    </w:p>
    <w:p>
      <w:pPr>
        <w:pStyle w:val="4"/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绩效管理工作中还存在一些问题和困惑。一是思想认识待提升。当前个别部门单位对评价工作的重视程度还不够，平时不注重收集资料建立工作台账，主要由于评价结果和预算安排尚未密切挂钩。二是可操作性待增强。和田市预算支出项目更注重社会效益和长期效益，绩效指标制定和绩效评价有一定难度。三是成果应用待加强。绩效评价结果作为预算分配或调整的重要依据目前尚未执行到位。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、下一步工作意见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宣传培训，计划2021年和田市举办六次预算绩效管理培训班，邀请第三方机构专家讲课。二是全面完善绩效指标库。三是绩效执行情况与下一年预算安排挂钩。四是邀请绩效评价第三方参与和田市预算绩效执行全过程监管，不定期采集相关信息，持续推进绩效管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和田市财政局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2020年11月13日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61004"/>
    <w:multiLevelType w:val="singleLevel"/>
    <w:tmpl w:val="C496100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95F2FA7"/>
    <w:multiLevelType w:val="singleLevel"/>
    <w:tmpl w:val="495F2FA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TkwNWNkMTgyZTBiMDM2MTcxYTg3YjgwNzNiYzkifQ=="/>
  </w:docVars>
  <w:rsids>
    <w:rsidRoot w:val="00DC59A6"/>
    <w:rsid w:val="001F2814"/>
    <w:rsid w:val="00246822"/>
    <w:rsid w:val="005162F1"/>
    <w:rsid w:val="009A203D"/>
    <w:rsid w:val="00A4293B"/>
    <w:rsid w:val="00B5112E"/>
    <w:rsid w:val="00B74695"/>
    <w:rsid w:val="00DC59A6"/>
    <w:rsid w:val="00E750CB"/>
    <w:rsid w:val="0F807070"/>
    <w:rsid w:val="1843748B"/>
    <w:rsid w:val="247A1403"/>
    <w:rsid w:val="2A6F328C"/>
    <w:rsid w:val="2B3B15F0"/>
    <w:rsid w:val="370D5311"/>
    <w:rsid w:val="397D04D1"/>
    <w:rsid w:val="417F176B"/>
    <w:rsid w:val="46190BB2"/>
    <w:rsid w:val="5CBC1FD4"/>
    <w:rsid w:val="64524C42"/>
    <w:rsid w:val="65882E84"/>
    <w:rsid w:val="66271FB9"/>
    <w:rsid w:val="6EF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2">
    <w:name w:val="Subtitle"/>
    <w:basedOn w:val="1"/>
    <w:next w:val="1"/>
    <w:link w:val="28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3">
    <w:name w:val="Title"/>
    <w:basedOn w:val="1"/>
    <w:next w:val="1"/>
    <w:link w:val="27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rFonts w:asciiTheme="minorHAnsi" w:hAnsiTheme="minorHAnsi"/>
      <w:b/>
      <w:i/>
      <w:iCs/>
    </w:rPr>
  </w:style>
  <w:style w:type="character" w:customStyle="1" w:styleId="18">
    <w:name w:val="标题 1 Char"/>
    <w:basedOn w:val="15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19">
    <w:name w:val="标题 2 Char"/>
    <w:basedOn w:val="15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0">
    <w:name w:val="标题 3 Char"/>
    <w:basedOn w:val="15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1">
    <w:name w:val="标题 4 Char"/>
    <w:basedOn w:val="15"/>
    <w:link w:val="5"/>
    <w:semiHidden/>
    <w:qFormat/>
    <w:uiPriority w:val="9"/>
    <w:rPr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3">
    <w:name w:val="标题 6 Char"/>
    <w:basedOn w:val="15"/>
    <w:link w:val="7"/>
    <w:semiHidden/>
    <w:qFormat/>
    <w:uiPriority w:val="9"/>
    <w:rPr>
      <w:b/>
      <w:bCs/>
    </w:rPr>
  </w:style>
  <w:style w:type="character" w:customStyle="1" w:styleId="24">
    <w:name w:val="标题 7 Char"/>
    <w:basedOn w:val="15"/>
    <w:link w:val="8"/>
    <w:semiHidden/>
    <w:qFormat/>
    <w:uiPriority w:val="9"/>
    <w:rPr>
      <w:sz w:val="24"/>
      <w:szCs w:val="24"/>
    </w:rPr>
  </w:style>
  <w:style w:type="character" w:customStyle="1" w:styleId="25">
    <w:name w:val="标题 8 Char"/>
    <w:basedOn w:val="15"/>
    <w:link w:val="9"/>
    <w:semiHidden/>
    <w:qFormat/>
    <w:uiPriority w:val="9"/>
    <w:rPr>
      <w:i/>
      <w:iCs/>
      <w:sz w:val="24"/>
      <w:szCs w:val="24"/>
    </w:rPr>
  </w:style>
  <w:style w:type="character" w:customStyle="1" w:styleId="26">
    <w:name w:val="标题 9 Char"/>
    <w:basedOn w:val="15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7">
    <w:name w:val="标题 Char"/>
    <w:basedOn w:val="15"/>
    <w:link w:val="13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8">
    <w:name w:val="副标题 Char"/>
    <w:basedOn w:val="15"/>
    <w:link w:val="12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29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0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1">
    <w:name w:val="Quote"/>
    <w:basedOn w:val="1"/>
    <w:next w:val="1"/>
    <w:link w:val="32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2">
    <w:name w:val="引用 Char"/>
    <w:basedOn w:val="15"/>
    <w:link w:val="31"/>
    <w:qFormat/>
    <w:uiPriority w:val="29"/>
    <w:rPr>
      <w:i/>
      <w:sz w:val="24"/>
      <w:szCs w:val="24"/>
    </w:rPr>
  </w:style>
  <w:style w:type="paragraph" w:styleId="33">
    <w:name w:val="Intense Quote"/>
    <w:basedOn w:val="1"/>
    <w:next w:val="1"/>
    <w:link w:val="34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4">
    <w:name w:val="明显引用 Char"/>
    <w:basedOn w:val="15"/>
    <w:link w:val="33"/>
    <w:qFormat/>
    <w:uiPriority w:val="30"/>
    <w:rPr>
      <w:b/>
      <w:i/>
      <w:sz w:val="24"/>
    </w:rPr>
  </w:style>
  <w:style w:type="character" w:customStyle="1" w:styleId="35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6">
    <w:name w:val="Intense Emphasis"/>
    <w:basedOn w:val="15"/>
    <w:qFormat/>
    <w:uiPriority w:val="21"/>
    <w:rPr>
      <w:b/>
      <w:i/>
      <w:sz w:val="24"/>
      <w:szCs w:val="24"/>
      <w:u w:val="single"/>
    </w:rPr>
  </w:style>
  <w:style w:type="character" w:customStyle="1" w:styleId="37">
    <w:name w:val="Subtle Reference"/>
    <w:basedOn w:val="15"/>
    <w:qFormat/>
    <w:uiPriority w:val="31"/>
    <w:rPr>
      <w:sz w:val="24"/>
      <w:szCs w:val="24"/>
      <w:u w:val="single"/>
    </w:rPr>
  </w:style>
  <w:style w:type="character" w:customStyle="1" w:styleId="38">
    <w:name w:val="Intense Reference"/>
    <w:basedOn w:val="15"/>
    <w:qFormat/>
    <w:uiPriority w:val="32"/>
    <w:rPr>
      <w:b/>
      <w:sz w:val="24"/>
      <w:u w:val="single"/>
    </w:rPr>
  </w:style>
  <w:style w:type="character" w:customStyle="1" w:styleId="39">
    <w:name w:val="Book Title"/>
    <w:basedOn w:val="15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1">
    <w:name w:val="批注框文本 Char"/>
    <w:basedOn w:val="15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1709</Words>
  <Characters>1778</Characters>
  <Lines>2</Lines>
  <Paragraphs>1</Paragraphs>
  <TotalTime>336</TotalTime>
  <ScaleCrop>false</ScaleCrop>
  <LinksUpToDate>false</LinksUpToDate>
  <CharactersWithSpaces>1816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2019-03-24T05:35:00Z</dcterms:created>
  <dc:creator>赵 恺（预算处）</dc:creator>
  <cp:lastModifiedBy>清烟一缕</cp:lastModifiedBy>
  <cp:lastPrinted>2020-11-13T03:16:00Z</cp:lastPrinted>
  <dcterms:modified xsi:type="dcterms:W3CDTF">2022-05-12T05:44:31Z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110CD84B3E19463F97653002D5770F42</vt:lpwstr>
  </property>
</Properties>
</file>